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PRINCÍPIO DA VERDADE REAL</w:t>
      </w:r>
    </w:p>
    <w:p/>
    <w:p>
      <w:r>
        <w:rPr>
          <w:b/>
          <w:bCs/>
        </w:rPr>
        <w:t xml:space="preserve">Recurso: </w:t>
      </w:r>
      <w:r>
        <w:t xml:space="preserve">agravo de instrumento -</w:t>
      </w:r>
    </w:p>
    <w:p/>
    <w:p>
      <w:r>
        <w:t xml:space="preserve">DETERMINAÇÃO PARA O FIM DE ESCLARECIMENTO DA CAUSA — FACULDADE LEGÍTIMA DO JUIZ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MOACYR AMARAL SANTOS explica que compete ao juiz "velar pela rápida solução do litígio"; "determinar as provas necessárias à instrução do processo" (arts. 125, II, e 130 do CPC). - Deve o julgador estar atento ao desenvolvimento da lide, máxime no concernente aos fatos nela debatidos. - Daí porque pode interrogar as partes sobre os fatos da causa, a fim de aclará-los e bem se instruir o processo das provas necessárias (Comentários ao Código do Processo Civil, Forense, v. IV/82 e 83). - Logo, a providência de convocações das partes podia ser tomada, porque inerente aos poderes autorizados ao julgador. - Quanto ao argumento do recorrente de que, em se tratando de processo de execução, incabível era a determinação, anota-se que se aplicam subsidiariamente à execução as disposições que regem o processo de conhecimento, ou seja, o procedimento ordinário (art. 598 do CPC). - Observa THEOTONIO NEGRÃO que se aplicam as normas dos arts. 282 e 565, com exclusão daquelas incompatíveis: arts. 483-495 e 539-540. - Não cabem, p. ex., os institutos da reconvenção, da denunciação da lide etc. (Código de Processo Civil...,Ed. RT, 15ª ed., p. 219). - A correição parcial tem por finalidade "emenda de erro ou abusos, que importem em inversão tumultária dos atos e fórmulas de ordem legal do processo, quando para o caso não houver recurso" (Código Judiciário - Dec. Lei Complementar 3, de 27-08-69 - art. 93), processando-se como agravo de instrumento. - Ao que se vê, não houve erro ou abuso que importou em inversão tumultária de atos do processo. - Utilizou-se o 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Dispõe o art. 342 do CPC que "o juiz pode de ofício, em qualquer estado do processo, determinar o comparecimento pessoal das partes, a fim de interrogá-las sobre os fatos da causa". - Tal disposição pode ser adotada subsidiariamente à execução (art. 598 do CPC), não configurando sua aplicação erro ou abuso do magistrado.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2026-09-11T00:12:42.406Z</dcterms:created>
  <dcterms:modified xsi:type="dcterms:W3CDTF">2026-09-11T00:12:42.406Z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