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REsp 8.415</w:t>
      </w:r>
    </w:p>
    <w:p/>
    <w:p>
      <w:r>
        <w:t xml:space="preserve">PUBLICAÇÃO — PRAZO DE 48 HORAS ATÉ O JULGAMENTO - INOBSERVÂNCIA - QUANDO ACARRETA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inobservância do prazo de 48 horas, entre a publicação de pauta e o julgamento sem a presença das partes, acarreta nulidade. Referência: Cód. Pr. Civil, arts. 552, parágrafo 1º e 184, parágrafo 2º. REsp. 8.415 - SP (1º T 04-09-1991 - DJ 07-10-1991). REsp. 6.481 - SP (2º T 13-04-1994 - DJ 09-05-1994). REsp. 14.818 - BA (3º T 09-12-1991 - DJ 10-02-1992). REsp. 6.880 - SP (4º T 21-08-1991 - DJ 30-09-1991). REsp. 8.478 - SP (4º T 17-12-1991 - DJ 06-04-1992). REsp. 23.650 - SP (4º T 20-10-1992 - DJ 30-11-1992). Corte Especial, em 27-10-1994 DJ 7-11-1994, pág. 30.050 EMFOR - Nº 551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2026-06-17T16:45:28.553Z</dcterms:created>
  <dcterms:modified xsi:type="dcterms:W3CDTF">2026-06-17T16:45:28.553Z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