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REsp 8.415</w:t>
      </w:r>
    </w:p>
    <w:p/>
    <w:p>
      <w:r>
        <w:t xml:space="preserve">PUBLICAÇÃO — PRAZO DE 48 HORAS ATÉ O JULGAMENTO - INOBSERVÂNCIA - QUANDO ACARRETA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inobservância do prazo de 48 horas, entre a publicação de pauta e o julgamento sem a presença das partes, acarreta nulidade. Referência: Cód. Pr. Civil, arts. 552, parágrafo 1º e 184, parágrafo 2º. REsp. 8.415 - SP (1º T 04-09-1991 - DJ 07-10-1991). REsp. 6.481 - SP (2º T 13-04-1994 - DJ 09-05-1994). REsp. 14.818 - BA (3º T 09-12-1991 - DJ 10-02-1992). REsp. 6.880 - SP (4º T 21-08-1991 - DJ 30-09-1991). REsp. 8.478 - SP (4º T 17-12-1991 - DJ 06-04-1992). REsp. 23.650 - SP (4º T 20-10-1992 - DJ 30-11-1992). Corte Especial, em 27-10-1994 DJ 7-11-1994, pág. 30.050 EMFOR - Nº 551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2026-09-10T23:19:52.700Z</dcterms:created>
  <dcterms:modified xsi:type="dcterms:W3CDTF">2026-09-10T23:19:52.700Z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