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TÍTULO EXECUTIVO EXTRAJUDICIAL</w:t>
      </w:r>
    </w:p>
    <w:p>
      <w:r>
        <w:rPr>
          <w:i/>
          <w:iCs/>
          <w:color w:val="666666"/>
        </w:rPr>
        <w:t xml:space="preserve">CONTRATO DE ABERTURA DE CRÉDITO</w:t>
      </w:r>
    </w:p>
    <w:p/>
    <w:p>
      <w:r>
        <w:rPr>
          <w:b/>
          <w:bCs/>
        </w:rPr>
        <w:t xml:space="preserve">Recurso: </w:t>
      </w:r>
      <w:r>
        <w:t xml:space="preserve">REsp 13.098</w:t>
      </w:r>
    </w:p>
    <w:p>
      <w:r>
        <w:rPr>
          <w:b/>
          <w:bCs/>
        </w:rPr>
        <w:t xml:space="preserve">Tribunal: </w:t>
      </w:r>
      <w:r>
        <w:t xml:space="preserve">STJ</w:t>
      </w:r>
    </w:p>
    <w:p/>
    <w:p>
      <w:r>
        <w:t xml:space="preserve">PACTO QUE A ESTIPULE — QUANDO SE LEGITIMA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- A legislação sobre cédulas de crédito rural, comercial e industrial admite o pacto de capitalização de juros. Referência: Lei 6.840, de 3-11-1980. Decreto-lei 167, de 14-2-67, arts 5º e 9º. Decreto-lei 413, de 01-01-69, art. 5º. REsp 13.098 - GO (2ª S 29-04-92 - DJ 22-06-92). REsp 11.843 - RS (3ª T 13-04-92 - DJ 25-05-92). REsp 20.599 - PR (3ª T 25-05-92 - DJ 03-08-92). REsp 23.844 - RS (3ª T 01-09-92 - DJ 05-10-92). REsp 26.646 - RS (3ª T 22-09-92 - DJ 13-10-92). REsp 27.468 - RS (3ª T 10-11-92 - DJ 07-12-92). REsp 24.241 - RS (4ª T 31-08-92 - DJ 05-10-92). REsp 26.031 - GO (4ª T 13-10-92 - DJ 16-11-92). REsp 31.025 - RS (4ª T 17-02-93 - DJ 22-03-93). Segunda Seção, em 27-10-93 DJ 03-11-93, pág. 23.187 EMFOR - STJ/917 EMFOR 540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2026-07-28T01:50:41.265Z</dcterms:created>
  <dcterms:modified xsi:type="dcterms:W3CDTF">2026-07-28T01:50:41.265Z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