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ABERTURA DE CRÉDITO</w:t>
      </w:r>
    </w:p>
    <w:p/>
    <w:p>
      <w:r>
        <w:rPr>
          <w:b/>
          <w:bCs/>
        </w:rPr>
        <w:t xml:space="preserve">Recurso: </w:t>
      </w:r>
      <w:r>
        <w:t xml:space="preserve">RE 47.497</w:t>
      </w:r>
    </w:p>
    <w:p/>
    <w:p>
      <w:r>
        <w:t xml:space="preserve">CONVENÇÃO QUE A ESTIPULE — VEDAÇÃO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vedada a capitalização de juros, ainda que expressamente convencionada. Referência: - Decreto nº 22.626, de 07.04.63, artigo 4º RE 47.497, de 30.05.61; RE 19.352, de 02.10.51; RE 19.533, de 06.11.51; RE 17.785, de 10.08.51; RE 20.653, de 08.07.52; ERE 47.497, de 25.09.61. Súmula de Jurisprudência Predominante do Supremo Tribunal Federal - Aprovada em Sessão de 13-12-1963 - pág. 73 EMENTÁRIO FORENSE. Dezembro, 1964. Ano XVI. Nº 193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2026-07-28T01:48:14.766Z</dcterms:created>
  <dcterms:modified xsi:type="dcterms:W3CDTF">2026-07-28T01:48:14.766Z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