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78/953</w:t>
      </w:r>
    </w:p>
    <w:p>
      <w:r>
        <w:rPr>
          <w:b/>
          <w:bCs/>
        </w:rPr>
        <w:t xml:space="preserve">Julgado em: </w:t>
      </w:r>
      <w:r>
        <w:t xml:space="preserve">18/04/1985</w:t>
      </w:r>
    </w:p>
    <w:p/>
    <w:p>
      <w:r>
        <w:t xml:space="preserve">COMISSÃO DE PERMANÊNCIA E TAXA ESPECIAL DE JUROS — ACRÉSCIMOS NÃO ESTIPULADOS - QUANDO NÃO SÃO EXIGÍVEIS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valor da causa é inferior à alçada recursal (art. 325, inc. III, RISTF), tendo sido rejeitada a argüição de relevância (autos em apenso). - Assim, o recurso somente pode ser apreciado quanto à alegação de dissídio com a Súmula 596 (*), anunciada desta forma: "As disposições do decreto nº 22.626/33 não se aplicam às taxas de juros e aos outros encargos cobrados nas operações realizadas por instituições públicas ou privadas, que integram o sistema financeiro nacional". - O v. acórdão recorrido, todavia, não disse ao contrário. - Limitou-se a exigir estipulação dos contratantes para a incidência de tais acréscimos, "in verbis": "A Comissão de Permanência e a Taxa especial de juros foram admitidas como válidas a partir da regulamentação do conselho Monetário Nacional. - Porém, e aqui o problema, válidas desde que pactuadas. - Caso não, a resolução não tem o condão de obrigar os cidadão, posto que a Constituição não admite. - A Comissão de Permanência é válida se pactuada". - Ora, em nenhum momento, a Súmula 596, nem os julgados que lhe deram causa (RE 78/953 - RTJ, 72/916, RE 81.680 - RTJ, 75/963, REs. 81.693, 81.658, 82.196, 80.115, 82.439, 81.692 e 82.216) afirmaram que os acréscimos em questão possam ser exigidos mesmo não pactuados livremente pelos contratantes. Julgado em 19-04-1985 Revista Trimestral de Jurisprudência. Vol. 114 - Pág. 282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comissão de permanência e taxa especial de juros, acréscimos não estipulados pelos contratantes são considerados inexigíveis.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2026-07-27T23:43:46.904Z</dcterms:created>
  <dcterms:modified xsi:type="dcterms:W3CDTF">2026-07-27T23:43:46.904Z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