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42.232</w:t>
      </w:r>
    </w:p>
    <w:p/>
    <w:p>
      <w:r>
        <w:t xml:space="preserve">QUANDO SE INICIA — CITAÇÃO INICIAL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contra a Fazenda Pública, sendo a obrigação ilíquida, contam-se os juros moratórios desde a citação inicial para a ação. Referência: - Cód. Civil, artigo 1.536, § 2º; - Decreto nº 22.785, de 31.05.33, artigo 3º. ERE 42.232, de 20.01.61; ERE 44.605, de 22.05.62; ERE 33.443, de 06.04.62; ERE 52.655, de 13.09.63. RE 52.655, de 17.05.63 (D. de Just. de 18.07.63, p. 560). Aprovada em Sessão de 13-12-1963 - pág. 88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2026-10-26T04:59:21.827Z</dcterms:created>
  <dcterms:modified xsi:type="dcterms:W3CDTF">2026-10-26T04:59:21.827Z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