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106/607</w:t>
      </w:r>
    </w:p>
    <w:p>
      <w:r>
        <w:rPr>
          <w:b/>
          <w:bCs/>
        </w:rPr>
        <w:t xml:space="preserve">Julgado em: </w:t>
      </w:r>
      <w:r>
        <w:t xml:space="preserve">05/09/1985</w:t>
      </w:r>
    </w:p>
    <w:p/>
    <w:p>
      <w:r>
        <w:t xml:space="preserve">FLUÊNCIA — A PARTIR DE QUANDO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extraordinário em autos de execução fiscal, onde o Estado de São Paulo assevera que os juros de mora devem fluir desde o vencimento da obrigação, e não apenas a partir da citação inicial, conforme determinou o Tribunal de Justiça. Fala o Estado em afronta ao art. 161 do Código Tributário Nacional e em desrespeito à coisa julgada. - A argüição de relevância foi argüida. VOTO - O tema do desrespeito à coisa julgada carece por inteiro, de prévio debate na origem, não ensejando por isso, exame nesta instância excepcional. - Sobre os juros de mora, a matéria já foi deslindada nesta Casa em sentido do entendimento reinante no tribunal de origem. Na sessão de 20 de agosto último, nesta Turma, relatei o RE 106/607 de igual índole, ficando entendido que os juros de mora devem ser contados a partir do vencimento do débito. No dia seguinte, o Tribunal Pleno adotou a mesma diretriz, no RE 106.281, relator o Ministro OSCAR CORRÊA. - Reportando-me a tais precedentes, conheço do recurso e lhe dou provimento para determinar que os juros de mora comecem a fluir a partir do vencimento da obrigação tributária. Julgado em 06-09-1985 Revista Trimestral de Jurisprudência. Abril, 1986 - Vol. 116 - Pág. 404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em obrigação positiva e líquida contam-se a partir do vencimento do débito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2026-10-26T05:59:15.515Z</dcterms:created>
  <dcterms:modified xsi:type="dcterms:W3CDTF">2026-10-26T05:59:15.515Z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