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42.232</w:t>
      </w:r>
    </w:p>
    <w:p/>
    <w:p>
      <w:r>
        <w:t xml:space="preserve">FLUÊNCIA CONTRA A MESMA — EXCLUSÃO DA REGRA GERAL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contra a Fazenda Pública, sendo a obrigação ilíquida, contam-se os juros moratórios desde a citação inicial para a ação. Referência: - Cód. Civil, artigo 1.536, § 2º; - Decreto nº 22.785, de 31.05.33, artigo 3º. ERE 42.232, de 20.01.61; ERE 44.605, de 22.05.62; ERE 33.443, de 06.04.62; ERE 52.655, de 13.09.63. RE 52.655, de 17.05.63 (D. de Just. de 18.07.63, p. 560). Aprovada em Sessão de 13-12-1963 - pág. 88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2026-10-26T05:58:28.988Z</dcterms:created>
  <dcterms:modified xsi:type="dcterms:W3CDTF">2026-10-26T05:58:28.988Z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