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42.232</w:t>
      </w:r>
    </w:p>
    <w:p/>
    <w:p>
      <w:r>
        <w:t xml:space="preserve">FLUÊNCIA CONTRA A MESMA — EXCLUSÃO DA REGRA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contra a Fazenda Pública, sendo a obrigação ilíquida, contam-se os juros moratórios desde a citação inicial para a ação. Referência: - Cód. Civil, artigo 1.536, § 2º; - Decreto nº 22.785, de 31.05.33, artigo 3º. ERE 42.232, de 20.01.61; ERE 44.605, de 22.05.62; ERE 33.443, de 06.04.62; ERE 52.655, de 13.09.63. RE 52.655, de 17.05.63 (D. de Just. de 18.07.63, p. 560). Aprovada em Sessão de 13-12-1963 - pág. 88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2026-07-28T02:29:41.724Z</dcterms:created>
  <dcterms:modified xsi:type="dcterms:W3CDTF">2026-07-28T02:29:41.724Z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