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 106.281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>
      <w:r>
        <w:rPr>
          <w:b/>
          <w:bCs/>
        </w:rPr>
        <w:t xml:space="preserve">Julgado em: </w:t>
      </w:r>
      <w:r>
        <w:t xml:space="preserve">26/03/1987</w:t>
      </w:r>
    </w:p>
    <w:p/>
    <w:p>
      <w:r>
        <w:t xml:space="preserve">A PARTIR DE QUE MOMENTO INCIDEM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a iterativa jurisprudência do Supremo Tribunal, os juros moratórios, na espécie dos autos, incidem a partir do vencimento da obrigação tributária (Precedentes: RE nº 106.281, Rel. Ministro OSCAR CORRÊA, RTJ 115/478, RE 11.886-5, Rel. Ministro ALDIR PASSARINHO e RE 110.253-5 por mim relatado, entre outros). - Conheceram do recurso e lhe deram provimento. Julgado em 27-03-1987 arquivo do STF - DJ de 08-05-87 - Ementário Nº 1460-2 Arquivo do EMFOR, STF/19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 incidem a partir do vencimento da obrigação tributária.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2026-07-28T01:49:10.531Z</dcterms:created>
  <dcterms:modified xsi:type="dcterms:W3CDTF">2026-07-28T01:49:10.531Z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