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106.281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OSCAR CORRÊA</w:t>
      </w:r>
    </w:p>
    <w:p>
      <w:r>
        <w:rPr>
          <w:b/>
          <w:bCs/>
        </w:rPr>
        <w:t xml:space="preserve">Julgado em: </w:t>
      </w:r>
      <w:r>
        <w:t xml:space="preserve">26/03/1987</w:t>
      </w:r>
    </w:p>
    <w:p/>
    <w:p>
      <w:r>
        <w:t xml:space="preserve">A PARTIR DE QUE MOMENTO INCIDEM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a iterativa jurisprudência do Supremo Tribunal, os juros moratórios, na espécie dos autos, incidem a partir do vencimento da obrigação tributária (Precedentes: RE nº 106.281, Rel. Ministro OSCAR CORRÊA, RTJ 115/478, RE 11.886-5, Rel. Ministro ALDIR PASSARINHO e RE 110.253-5 por mim relatado, entre outros). - Conheceram do recurso e lhe deram provimento. Julgado em 27-03-1987 arquivo do STF - DJ de 08-05-87 - Ementário Nº 1460-2 Arquivo do EMFOR, STF/19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moratórios incidem a partir do vencimento da obrigação tributária.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2026-10-26T05:56:33.469Z</dcterms:created>
  <dcterms:modified xsi:type="dcterms:W3CDTF">2026-10-26T05:56:33.469Z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