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/>
    <w:p>
      <w:r>
        <w:t xml:space="preserve">PARTE VENCIDA — SE ESTÁ ISENTO DE REEMBOLSAR A PARTE VENCEDORA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sentença de primeira instância julgou procedente a ação, condenando o réu no pagamento de custas processuais e honorários advocatícios em 10% (dez por cento) sobre o total das prestações vencidas. - O acórdão recorrido reformou a sentença julgando improcedente a ação e invertendo o ônus da sucumbência. - Assiste razão ao recorrente no tocante a ofensa ao art. 153, § 32, da CF, porquanto tendo sido deferido ao autor o benefício da justiça gratuita..., não deverá este arcar com o ônus da sucumbência. Ac. de 17-09-1987 Revista Trimestral de Jurisprudência - Dezembro de 1987 - Vol. 122 - Pág. 1.206. N. da R.: V. decisões NO MESMO SENTIDO nos Ns. 153 e 247 e, NO SENTIDO CONTRÁRIO, nos Números 167, 470, 475, 326 e 474 do EMFOR. EMFOR 483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Aos necessitados cabe o direito à assistência judiciária, para a defesa dos seus interesses em juízo (§ 32, do art. 153, da Constituição Federal).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2026-07-28T02:09:54.187Z</dcterms:created>
  <dcterms:modified xsi:type="dcterms:W3CDTF">2026-07-28T02:09:54.187Z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