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JUROS E CORREÇÃO MONETÁRIA</w:t>
      </w:r>
    </w:p>
    <w:p/>
    <w:p/>
    <w:p>
      <w:r>
        <w:t xml:space="preserve">AQUISIÇÃO DE BENS E SERVIÇOS COMUNS — PREGÃO - MODALIDADE DE LICITAÇÃO - INSTITUI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2.026-1, DE 1º DE JUNHO DE 2000 Institui, no âmbito da União, nos termos do art. 37, inciso XXI, da Constituição Federal, modalidade de licitação denominada pregão, para aquisição de bens e serviços comuns. O VICE-PRESIDENTE DA REPÚBLICA, no exercício do cargo de Presidente da República, usando da atribuição que lhe confere o art. 62 da Constituição, adota a seguinte Medida Provisória, com força de lei: Art. 1o Para aquisição de bens e serviços comuns, a União poderá adotar licitação na modalidade de pregão, que será regida por esta Medida Provisória. § 1o Consideram-se bens e serviços comuns, para os fins e efeitos deste artigo, aqueles cujos padrões de desempenho e qualidade possam ser objetivamente definidos pelo edital, por meio de especificações usuais no mercado. § 2o O regulamento disporá sobre os bens e serviços comuns de que trata este artigo. Art. 2o Pregão é a modalidade de licitação para aquisição de bens e serviços comuns, promovida exclusivamente no âmbito da União, qualquer que seja o valor estimado da contratação, em que a disputa pelo fornecimento é feita por meio de propostas e lances em sessão pública. Parágrafo único. Poderá ser realizado o pregão por meio da utilização de recursos de tecnologia da informação, nos termos de regulamentação específica. Art. 3o A fase preparatória do pregão observará o seguinte: I - a autoridade competente justificará a necessidade de contratação e definirá o objeto do certame, as exigências de habilitação, os critérios de aceitação das propostas, as sanções por inadimplemento e as cláusulas do contrato, inclusive com fixação dos prazos para fornecimento; II - a definição do objeto deverá ser precisa, suficiente e clara, sem especificações que, por excessivas, irrelevantes ou desnecessárias, limitem a competição; III - dos autos do procedimento constarão a justificativa das definições referid as no inciso I deste artigo e os indispensáveis elementos técnicos sobre os quais estiverem apoiados, bem como o orçamento, elaborado pelo órgão promotor da licitação, dos bens ou serviços a serem licitados; e IV - a autoridade competente designará, dentre os servidores do órgão promotor da licitação, o pregoeiro, cuja atribuição inclui o recebimento das propostas e lances, a análise de sua aceitabilidade e sua classificação, bem como a habilitação e a adjudicação do objeto do certame ao licitante vencedor. Art. 4o A fase externa do pregão será iniciada com a convocação dos interessados e observará as seguintes regras: I - a convocação dos interessados será efetuada por meio de publicação de aviso no Diário Oficial da União, em jornais de grande circulação e, facultativamente, por meios eletrônicos; II - do aviso constarão a definição do objeto, a indicação do local, dias e horários em que poderá ser lida ou obtida a íntegra do edital e recebidas as propostas; III - do edital constarão todos os elementos definidos na forma do inciso I do artigo anterior e as normas que disciplinarem o procedimento; IV - cópias do edital e do respectivo aviso serão colocadas à disposição de qualquer pessoa para consulta; V - o prazo fixado para a apresentação das propostas, contado a partir da publicação do aviso, não será inferior a oito dias úteis; VI - no dia, hora e local designados, será realizada sessão pública para recebimento das propostas, devendo o interessado, ou seu representante, identificar-se e, se for o caso, comprovar a existência dos necessários poderes para formulação de propostas e para a prática de todos os demais atos inerentes ao certame; VII - a habilitação far-se-á com declaração do próprio licitante de que está em situação regular perante a Fazenda Nacional, a Seguridade Social e o Fundo de Garantia do Tempo de Serviço - FGTS, bem como de que atende às exigências do edital quanto à habilitação jurídica e qualifica ções técnica e econômico-financeira; VIII - aberta a sessão, os interessados entregarão os envelopes contendo a indicação do objeto e do preço oferecidos, procedendo-se à sua imediata abertura e à verificação da conformidade das propostas com os requisitos estabelecidos no instrumento convocatório; IX - no curso da sessão, o autor da oferta de valor mais baixo e os das ofertas com preços até dez por cento superiores àquela poderão fazer novos lances verbais e sucessivos, até a proclamação do vencedor; X - não havendo pelo menos três ofertas nas condições definidas no inciso anterior, poderão os autores das três melhores propostas oferecer n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2026-06-17T15:21:15.806Z</dcterms:created>
  <dcterms:modified xsi:type="dcterms:W3CDTF">2026-06-17T15:21:15.806Z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