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LIQUIDAÇÃO DE SENTENÇA</w:t>
      </w:r>
    </w:p>
    <w:p>
      <w:r>
        <w:rPr>
          <w:i/>
          <w:iCs/>
          <w:color w:val="666666"/>
        </w:rPr>
        <w:t xml:space="preserve">JUROS E CORREÇÃO MONETÁRIA</w:t>
      </w:r>
    </w:p>
    <w:p/>
    <w:p/>
    <w:p>
      <w:r>
        <w:t xml:space="preserve">AQUISIÇÃO DE BENS E SERVIÇOS COMUNS — PREGÃO - MODALIDADE DE LICITAÇÃO - INSTITUI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2.026-1, DE 1º DE JUNHO DE 2000 Institui, no âmbito da União, nos termos do art. 37, inciso XXI, da Constituição Federal, modalidade de licitação denominada pregão, para aquisição de bens e serviços comuns. O VICE-PRESIDENTE DA REPÚBLICA, no exercício do cargo de Presidente da República, usando da atribuição que lhe confere o art. 62 da Constituição, adota a seguinte Medida Provisória, com força de lei: Art. 1o Para aquisição de bens e serviços comuns, a União poderá adotar licitação na modalidade de pregão, que será regida por esta Medida Provisória. § 1o Consideram-se bens e serviços comuns, para os fins e efeitos deste artigo, aqueles cujos padrões de desempenho e qualidade possam ser objetivamente definidos pelo edital, por meio de especificações usuais no mercado. § 2o O regulamento disporá sobre os bens e serviços comuns de que trata este artigo. Art. 2o Pregão é a modalidade de licitação para aquisição de bens e serviços comuns, promovida exclusivamente no âmbito da União, qualquer que seja o valor estimado da contratação, em que a disputa pelo fornecimento é feita por meio de propostas e lances em sessão pública. Parágrafo único. Poderá ser realizado o pregão por meio da utilização de recursos de tecnologia da informação, nos termos de regulamentação específica. Art. 3o A fase preparatória do pregão observará o seguinte: I - a autoridade competente justificará a necessidade de contratação e definirá o objeto do certame, as exigências de habilitação, os critérios de aceitação das propostas, as sanções por inadimplemento e as cláusulas do contrato, inclusive com fixação dos prazos para fornecimento; II - a definição do objeto deverá ser precisa, suficiente e clara, sem especificações que, por excessivas, irrelevantes ou desnecessárias, limitem a competição; III - dos autos do procedimento constarão a justificativa das definições referid as no inciso I deste artigo e os indispensáveis elementos técnicos sobre os quais estiverem apoiados, bem como o orçamento, elaborado pelo órgão promotor da licitação, dos bens ou serviços a serem licitados; e IV - a autoridade competente designará, dentre os servidores do órgão promotor da licitação, o pregoeiro, cuja atribuição inclui o recebimento das propostas e lances, a análise de sua aceitabilidade e sua classificação, bem como a habilitação e a adjudicação do objeto do certame ao licitante vencedor. Art. 4o A fase externa do pregão será iniciada com a convocação dos interessados e observará as seguintes regras: I - a convocação dos interessados será efetuada por meio de publicação de aviso no Diário Oficial da União, em jornais de grande circulação e, facultativamente, por meios eletrônicos; II - do aviso constarão a definição do objeto, a indicação do local, dias e horários em que poderá ser lida ou obtida a íntegra do edital e recebidas as propostas; III - do edital constarão todos os elementos definidos na forma do inciso I do artigo anterior e as normas que disciplinarem o procedimento; IV - cópias do edital e do respectivo aviso serão colocadas à disposição de qualquer pessoa para consulta; V - o prazo fixado para a apresentação das propostas, contado a partir da publicação do aviso, não será inferior a oito dias úteis; VI - no dia, hora e local designados, será realizada sessão pública para recebimento das propostas, devendo o interessado, ou seu representante, identificar-se e, se for o caso, comprovar a existência dos necessários poderes para formulação de propostas e para a prática de todos os demais atos inerentes ao certame; VII - a habilitação far-se-á com declaração do próprio licitante de que está em situação regular perante a Fazenda Nacional, a Seguridade Social e o Fundo de Garantia do Tempo de Serviço - FGTS, bem como de que atende às exigências do edital quanto à habilitação jurídica e qualifica ções técnica e econômico-financeira; VIII - aberta a sessão, os interessados entregarão os envelopes contendo a indicação do objeto e do preço oferecidos, procedendo-se à sua imediata abertura e à verificação da conformidade das propostas com os requisitos estabelecidos no instrumento convocatório; IX - no curso da sessão, o autor da oferta de valor mais baixo e os das ofertas com preços até dez por cento superiores àquela poderão fazer novos lances verbais e sucessivos, até a proclamação do vencedor; X - não havendo pelo menos três ofertas nas condições definidas no inciso anterior, poderão os autores das três melhores propostas oferecer 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2026-09-11T00:24:50.703Z</dcterms:created>
  <dcterms:modified xsi:type="dcterms:W3CDTF">2026-09-11T00:24:50.703Z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