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REsp 18.473</w:t>
      </w:r>
    </w:p>
    <w:p>
      <w:r>
        <w:rPr>
          <w:b/>
          <w:bCs/>
        </w:rPr>
        <w:t xml:space="preserve">Relator: </w:t>
      </w:r>
      <w:r>
        <w:t xml:space="preserve">AMÉRICO LUZ</w:t>
      </w:r>
    </w:p>
    <w:p/>
    <w:p>
      <w:r>
        <w:t xml:space="preserve">IMPUGNAÇÃO EXTEMPORÂNEA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605 do CPC impõe o ônus da manifestação das partes a respeito do cálculo, no prazo de cinco dias. Não se trata de mera faculdade posto que não há emendas de cálculo sem que haja manifestado as partes, tendo-se por aprovação de cada um a abstenção de manifestar-se (PONTES DE MIRANDA, Comentários ao Código de Processo Civil, t. IX/531, Forense, 1976). - Ausente impugnação ao cálculo, não existirá interesse recursal. "Na liquidação por cálculo do contador, a apelação da sentença homologatória ressente-se do pressuposto de admissibilidade, quando o apelante não tenha oferecido oportuna impugnação. (REsp 18.473 - SP, 2ª T., Rel. Min. AMÉRICO LUZ, j. 4-5-92, DJU 25-5-92, pág. 7.373). - No caso, o Magistrado, ainda que inocorrente autorização legal para tanto (CPC, art. 182, 2ª parte), ampliou o prazo de manifestação, concedendo 30 dias à autarquia devedora, prazo este que teve início em 1-2-91. Todavia, a impugnação somente foi apresentada em 13 de março do mesmo ano. - Ora, decorrido o prazo fixado, não mais era possível à autarquia ofertar impugnação. Ausente impugnação oportuna, ausente interesse recursal. Ac. de 03-06-1992 Revista dos Tribunais - Fevereiro de 1993 - Vol. 688 - Pág. 118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Impugnação extemporânea ao cálculo do contador equivale à ausência de impugnação, ressentindo-se o recurso interposto pela mesma parte de interesse recursal.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2026-10-26T04:34:33.688Z</dcterms:created>
  <dcterms:modified xsi:type="dcterms:W3CDTF">2026-10-26T04:34:33.688Z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