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/>
    <w:p>
      <w:r>
        <w:t xml:space="preserve">LOCATÁRIO, RÉU EM AÇÃO DE DESPEJO POR FALTA DE PAGAMENTO DE ALUGUEL — SE CONSTITUI ÓBICE À RENOVAÇÃO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 relação ao primeiro fundamento, entendo ter sido rigorosa a decisão ora atacada, pois, como bem observado pelo douto Juiz Relator, o fato de o locatário ter sido réu em uma ação de despejo por falta de pagamento, relativamente aos aluguéis de julho e agosto de 1987, não tipifica hipótese de obstáculo à renovação, mesmo porque houve purgação da mora, com conseqüente extinção daquela ação. Convém salientar ter sido a única vez em que o locatário foi impontual no pagamento do locativo. Ac. de 10-08-1993 Revista dos Tribunais - Maio de 1994 - Vol. 703 - Pág. 109 EMFOR 560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fato de o locatário ter sido réu em uma ação de despejo por falta de pagamento de aluguel, não tipifica hipótese de obstáculo à renovação, mesmo porque houve purgação da mora, com conseqüente extinção daquela 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2026-06-17T16:37:39.616Z</dcterms:created>
  <dcterms:modified xsi:type="dcterms:W3CDTF">2026-06-17T16:37:39.616Z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