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Julgado em: </w:t>
      </w:r>
      <w:r>
        <w:t xml:space="preserve">17/10/1984</w:t>
      </w:r>
    </w:p>
    <w:p/>
    <w:p>
      <w:r>
        <w:t xml:space="preserve">PROMITENTE COMPRADOR — QUANDO COMO TAL SE CONSIDERA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O art. 14 da Lei nº 6.649/79, tendo em vista que o direito é vida e experiência, deve ser entendido que, também o compromisso de compra e venda, irretratável e inscrito, rompe a locação. - Desta forma, no caso dos autos, a perfeita exegesse daquele dispositivo permite a retomada do imóvel em tela. - Além do mais, a manifestação prévia da vontade do novo locador foi objeto de regular notificação, promovida, destarte, a denúncia da locação em conformidade com o entendimento do Excelso Pretório , R.E. nº 97.112 - RJ, relator o Ministro ALDIR PASSARINHO, publicado no D.J., in 29-6-84 VENCIDO JUIZ BATALHA DE MATOS. Julgado em 18-10-1984 Arquivo do Ementário Forense, TA/653 EMFOR 447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14 de Lei nº 6.649/79. - A promessa de compra e venda de imóvel não residencial em caráter irrevogável e devidamente inscrita, à igualdade do que ocorre com a compra e venda definitiva do imóvel, também rompe a locação, ensejando a retomada do imóvel.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2026-09-10T23:17:11.150Z</dcterms:created>
  <dcterms:modified xsi:type="dcterms:W3CDTF">2026-09-10T23:17:11.150Z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