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Julgado em: </w:t>
      </w:r>
      <w:r>
        <w:t xml:space="preserve">17/10/1984</w:t>
      </w:r>
    </w:p>
    <w:p/>
    <w:p>
      <w:r>
        <w:t xml:space="preserve">PROMITENTE COMPRADOR — QUANDO COMO TAL SE CONSIDERA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: - ... O art. 14 da Lei nº 6.649/79, tendo em vista que o direito é vida e experiência, deve ser entendido que, também o compromisso de compra e venda, irretratável e inscrito, rompe a locação. - Desta forma, no caso dos autos, a perfeita exegesse daquele dispositivo permite a retomada do imóvel em tela. - Além do mais, a manifestação prévia da vontade do novo locador foi objeto de regular notificação, promovida, destarte, a denúncia da locação em conformidade com o entendimento do Excelso Pretório , R.E. nº 97.112 - RJ, relator o Ministro ALDIR PASSARINHO, publicado no D.J., in 29-6-84 VENCIDO JUIZ BATALHA DE MATOS. Julgado em 18-10-1984 Arquivo do Ementário Forense, TA/653 EMFOR 447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art. 14 de Lei nº 6.649/79. - A promessa de compra e venda de imóvel não residencial em caráter irrevogável e devidamente inscrita, à igualdade do que ocorre com a compra e venda definitiva do imóvel, também rompe a locação, ensejando a retomada do imóvel.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2026-06-17T14:00:37.902Z</dcterms:created>
  <dcterms:modified xsi:type="dcterms:W3CDTF">2026-06-17T14:00:37.902Z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