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10/11/1986</w:t>
      </w:r>
    </w:p>
    <w:p/>
    <w:p>
      <w:r>
        <w:t xml:space="preserve">CLÁUSULA DE REAJUSTE — INCLUSÃO PELA JUSTIÇA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condenação da autora nos ônus de sucumbência está correta. - A sua oferta é muito inferior ao valor do aluguel arbitrado, o qual corresponde ao pedido dos locadores formulado na contestação. - A jurisprudência admite o reajustamento anual do aluguel mesmo nos contratos que assim não disponham, isto porque sendo o prazo longo, a desvalorização monetária repercute amplamente no equilíbrio contratual. - Não se trata, no caso, de inserir no ajuste cláusula contratual inexistente, mais de arbitrar o justo valor do aluguel para todo o período de execução do contrato. - O Decreto-Lei nº 2.284/86 não interfere na jurisprudência dominante deste Tribunal nesse sentido. - O artigo 7º permite a cláusula do reajustamento nos contratos de prazo igual ou superior a 12 meses. - Quanto as despesas processuais, a correção monetária incide até 28-02-1986. - No que diz respeito à correção monetária das diferenças de aluguel, não é cogitável em ação renovatória. Julgado em 11-11-1986 VENCIDO EM PARTE, O JUIZ LUIZ EDUARDO RABELLO. Arquivo do EMFOR, TA/797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admite o reajustamento anual do aluguel mesmo nos contratos que assim não disponham.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2026-06-17T14:04:22.435Z</dcterms:created>
  <dcterms:modified xsi:type="dcterms:W3CDTF">2026-06-17T14:04:22.436Z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