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Apelação 85.565</w:t>
      </w:r>
    </w:p>
    <w:p>
      <w:r>
        <w:rPr>
          <w:b/>
          <w:bCs/>
        </w:rPr>
        <w:t xml:space="preserve">Relator: </w:t>
      </w:r>
      <w:r>
        <w:t xml:space="preserve">CLARINDO DE BRITO NICOLAU</w:t>
      </w:r>
    </w:p>
    <w:p/>
    <w:p>
      <w:r>
        <w:t xml:space="preserve">RETENÇÃO — FALTA DE PREVISÃO EXPRESSA NO CONTRATO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Mesmo que existissem benfeitorias úteis, estas só facultariam a invocação do jus retentionis se houvessem sido feitas com o consentimento, por escrito, do locador, ex vi do art. 26, da Lei nº 6.649/79. E prova dessa autorização, que deveria ser trazida para o processo já com a contestação, inexiste. De outro lado, pela circunstância de não serem os móveis e instalações benfeitorias necessárias, já que estas, na acepção técnica, são obras ou despesas destinadas a conservar a coisa ou evitar que a mesma se deteriore (art. 63 parágrafo 3º, do Código Civil). Ac. de 31-05-1988 Jurisprudência Catarinense - 2º Trimestre de 1988 - Vol. 60 - Pág. 105 NO MESMO SENTIDO: Apelação nº 85.565 - Tr. Alçada Rio de Janeiro - 6ª C., Relator Juiz CLARINDO DE BRITO NICOLAU, ac. de 21-2-89 ("EMFOR", Nº 516).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Benfeitorias úteis realizadas pelo locatário, sem o consentimento escrito do locador, ainda que efetivamente comprovadas, não autorizam o acolhimento de pedido de natureza retentória.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2026-10-26T03:46:32.710Z</dcterms:created>
  <dcterms:modified xsi:type="dcterms:W3CDTF">2026-10-26T03:46:32.710Z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