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Apelação 85.565</w:t>
      </w:r>
    </w:p>
    <w:p>
      <w:r>
        <w:rPr>
          <w:b/>
          <w:bCs/>
        </w:rPr>
        <w:t xml:space="preserve">Relator: </w:t>
      </w:r>
      <w:r>
        <w:t xml:space="preserve">CLARINDO DE BRITO NICOLAU</w:t>
      </w:r>
    </w:p>
    <w:p/>
    <w:p>
      <w:r>
        <w:t xml:space="preserve">RETENÇÃO — FALTA DE PREVISÃO EXPRESSA NO CONTRATO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que existissem benfeitorias úteis, estas só facultariam a invocação do jus retentionis se houvessem sido feitas com o consentimento, por escrito, do locador, ex vi do art. 26, da Lei nº 6.649/79. E prova dessa autorização, que deveria ser trazida para o processo já com a contestação, inexiste. De outro lado, pela circunstância de não serem os móveis e instalações benfeitorias necessárias, já que estas, na acepção técnica, são obras ou despesas destinadas a conservar a coisa ou evitar que a mesma se deteriore (art. 63 parágrafo 3º, do Código Civil). Ac. de 31-05-1988 Jurisprudência Catarinense - 2º Trimestre de 1988 - Vol. 60 - Pág. 105 NO MESMO SENTIDO: Apelação nº 85.565 - Tr. Alçada Rio de Janeiro - 6ª C., Relator Juiz CLARINDO DE BRITO NICOLAU, ac. de 21-2-89 ("EMFOR", Nº 516).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Benfeitorias úteis realizadas pelo locatário, sem o consentimento escrito do locador, ainda que efetivamente comprovadas, não autorizam o acolhimento de pedido de natureza retentória.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2026-09-10T22:18:37.585Z</dcterms:created>
  <dcterms:modified xsi:type="dcterms:W3CDTF">2026-09-10T22:18:37.585Z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