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EXCEÇÃO DE CONTRATO NÃO CUMPRIDO</w:t>
      </w:r>
    </w:p>
    <w:p/>
    <w:p/>
    <w:p>
      <w:r>
        <w:t xml:space="preserve">RESPONSABILIDADE DO OCUPANTE — QUANDO OCORRE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cumpre observar que do teor do art. 1.529 do Código Civil se conclui que a responsabilidade pelos danos causados pelas coisas que caírem de um imóvel se restringe ao ocupante. - O proprietário, não ocupante do imóvel, só responde quando configurada a situação prevista no art. 1.528 do Código Civil, ou seja, quando o prédio se encontra em estado de ruína, quando esta resulta de falta de reparos, cuja necessidade é manifesta, o que não ocorre no presente caso. Ac. de 09-04-1991 VENCIDO O DES. ELMO ARUEIRA Arquivo do EMFOR - TJ/2.361 EMFOR 541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Encontrando-se o apartamento alugado, a responsabilidade pelos danos é do ocupante e não do proprietário do imóvel, que pela locação cedeu a posse direta dos bens.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2026-06-17T16:37:59.239Z</dcterms:created>
  <dcterms:modified xsi:type="dcterms:W3CDTF">2026-06-17T16:37:59.239Z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