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PROCESSO DE EXECUÇÃO</w:t>
      </w:r>
    </w:p>
    <w:p/>
    <w:p>
      <w:r>
        <w:rPr>
          <w:b/>
          <w:bCs/>
        </w:rPr>
        <w:t xml:space="preserve">Recurso: </w:t>
      </w:r>
      <w:r>
        <w:t xml:space="preserve">RE 100.100</w:t>
      </w:r>
    </w:p>
    <w:p>
      <w:r>
        <w:rPr>
          <w:b/>
          <w:bCs/>
        </w:rPr>
        <w:t xml:space="preserve">Julgado em: </w:t>
      </w:r>
      <w:r>
        <w:t xml:space="preserve">18/08/1985</w:t>
      </w:r>
    </w:p>
    <w:p/>
    <w:p>
      <w:r>
        <w:t xml:space="preserve">VALOR EM ORTNs — AFERIMENTO NO AJUIZAMENTO DA AÇÃO SEM AS POSTERIORES VARIAÇÕES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caso idêntico, qual seja o RE 100.100, Relator o Ministro RAFAEL MAYER, assim decidiu a Primeira Turma: &lt;&lt;Justiça Federal. Recurso. Apelação. Alçada. Embargos infringentes. lei nº 6.825/80 (art. 4º). Súmula nº 502 (*) (aplicação). Questão constitucional. 1. - O valor em ORTN atribuído à causa, para o efeito de alçada, é o que se afere no momento do ajuizamento da ação, sem sujeição a posteriores variações como decorre da própria sistemática legal e do entendimento desta Corte. 2. - A conotação essencial da Súmula 502, consistente na estatuição do momento de fixação da relação valorativa da causa pela indexação variável, tem igual pertinência à preceituação da lei nova (Lei nº 6.825/80). 3. - De anotar que, versando a apelação matéria exclusivamente constitucional, seria de considerar, com relação ao art. 4º da Lei nº 6.825/80, a construção jurisprudencial constante do Ag. Inst. nº 73.999 (RTJ 88/131), sob pena de interceptação do acesso da questão constitucional ao Supremo Tribunal Federal. 4. - Recurso extraordinário conhecido e provido&gt;&gt; (RTJ 107/438). - Guarda o mesmo sentido o RE 100.212, do qual fui Relator. - No caso em exame o valor da causa foi fixado em Cr$ 2.791,20 em 25-09-70. - Como à época do ajuizamento do feito 50 ORTNs correspondiam a Cr$ 2.352,50, cabia recurso à superior instância. - Assim, conheço do extraordinário e lhe dou provimento, para restabelecer a autoridade do acórdão que acolheu, na origem, o recurso da empresa. Julgado em 19-08-1985 Revista Trimestral de Jurisprudência. Vol. 117 - Pág. 1.277. (*) &lt;&lt;Na aplicação do art. 839 do Código de Proce sso Civil, com a redação da Lei nº 4.290, de 05-12-1963, a relação valor da causa e salário mínimo vigente na capital do Estado, ou do Território, para o efeito de alçada, deve ser considerada na data do ajuizamento do pedido.&gt;&gt; EMFOR 467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Conforme se decidiu no RE 100.100, &lt;&lt;o valor em ORTNs atribuído à causa, para o efeito de alçada, é o que se afere no momento do ajuizamento da ação, sem sujeição a posteriores variações , como decorre da própria sistemática legal e do entendimento desta Corte.&gt;&gt;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2026-10-26T06:59:18.135Z</dcterms:created>
  <dcterms:modified xsi:type="dcterms:W3CDTF">2026-10-26T06:59:18.135Z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