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/>
    <w:p>
      <w:r>
        <w:t xml:space="preserve">AUSÊNCIAS FREQUENTES DA LOCATÁRIA — QUANDO NÃO CONFIGURA ABANDONO DO IMÓVEL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seu longo depoimento pessoal, a ré, viúva e aposentada, admite haver se ausentado por vários, e, às vezes, longos períodos; passando temporadas em Mato Grosso do Sul, Brasília e São Gonçalo, aqui em casa de uma filha. Diz mais que nunca retirou seus pertences do imóvel locado e que, nas suas ausências, costuma encarregar terceiros de zelar pelo imóvel e objetos que estão em seu interior. - ...................................................................... - ... As viagens da apelante não se constituem, evidentemente, em inadimplência contratual posto que o locatário não fica confinado no imóvel locado, como um cadáver em seu túmulo. Ac. de 10-11-1988 Arquivo do EMFOR - TA/2.236 EMFOR 527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Ausências freqüentes da locatária não significa abandono do imóvel locado.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2026-09-10T23:34:06.665Z</dcterms:created>
  <dcterms:modified xsi:type="dcterms:W3CDTF">2026-09-10T23:34:06.665Z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