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Julgado em: </w:t>
      </w:r>
      <w:r>
        <w:t xml:space="preserve">20/11/1984</w:t>
      </w:r>
    </w:p>
    <w:p/>
    <w:p>
      <w:r>
        <w:t xml:space="preserve">PRORROGAÇÃO DO CONTRATO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Bem desacolhido, destarte, o pedido de despejo, uma vez que a égide da Lei 6.239/75, o prazo da notificação premonitória é de 90 dias e a retomada vazia é incabível, consoante doutrina invocada pela recorrida e precedentes desta C. Corte (JTACivSP 85/395, 78/291, 75/271 etc.). - Mais acertado, porém, que o seu desacolhimento se tivesse dado em termos de improcedência, e não de carência, pois não reconhecido apenas o direito material invocado pela apelante. - A exigência da multa contratual, pelo fato de a apelada não haver desocupado o imóvel ao cabo do prazo do contrato, e a cobrança do dano que alude o art. 1.196 do CC, de seu turno, também desmereciam albergada pois é óbvio que a hipótese legal de prorrogação da locação assim configurada não pode ser erigida à condição de fração contratual. - Do exposto, alterado o dispositivo da r. sentença de carência para improcedência, negam provimento ao recurso. Julgado em 21-11-1984 Revista dos Tribunais. Março 1985 - Vol. 593 - Pág. 177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 Lei 6.239/75. - É inexigível a multa prevista para o caso de o inquilino não desocupar o imóvel ao cabo do prazo fixado no contrato, pois a hipótese legal de prorrogação da locação assim configurada não pode ser erigida à condição de infração contratual.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2026-09-10T22:38:42.612Z</dcterms:created>
  <dcterms:modified xsi:type="dcterms:W3CDTF">2026-09-10T22:38:42.612Z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