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Julgado em: </w:t>
      </w:r>
      <w:r>
        <w:t xml:space="preserve">20/11/1984</w:t>
      </w:r>
    </w:p>
    <w:p/>
    <w:p>
      <w:r>
        <w:t xml:space="preserve">PRORROGAÇÃO DO CONTRATO —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Bem desacolhido, destarte, o pedido de despejo, uma vez que a égide da Lei 6.239/75, o prazo da notificação premonitória é de 90 dias e a retomada vazia é incabível, consoante doutrina invocada pela recorrida e precedentes desta C. Corte (JTACivSP 85/395, 78/291, 75/271 etc.). - Mais acertado, porém, que o seu desacolhimento se tivesse dado em termos de improcedência, e não de carência, pois não reconhecido apenas o direito material invocado pela apelante. - A exigência da multa contratual, pelo fato de a apelada não haver desocupado o imóvel ao cabo do prazo do contrato, e a cobrança do dano que alude o art. 1.196 do CC, de seu turno, também desmereciam albergada pois é óbvio que a hipótese legal de prorrogação da locação assim configurada não pode ser erigida à condição de fração contratual. - Do exposto, alterado o dispositivo da r. sentença de carência para improcedência, negam provimento ao recurso. Julgado em 21-11-1984 Revista dos Tribunais. Março 1985 - Vol. 593 - Pág. 177 EMFOR 446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da Lei 6.239/75. - É inexigível a multa prevista para o caso de o inquilino não desocupar o imóvel ao cabo do prazo fixado no contrato, pois a hipótese legal de prorrogação da locação assim configurada não pode ser erigida à condição de infração contratual.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2026-06-17T15:18:16.516Z</dcterms:created>
  <dcterms:modified xsi:type="dcterms:W3CDTF">2026-06-17T15:18:16.516Z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