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/>
    <w:p>
      <w:r>
        <w:t xml:space="preserve">DESCUMPRIMENTO DO LOCATÁRIO EM CONTRATAR SEGURO — CARÊNCIA DE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Dentre as cláusulas contratuais assim incorporadas ao instrumento de cessão está a de nº 4, que prevê expressamente: "A locatária se compromete a contratar um seguro contra logo no valor mínimo de CR$ 100.000,00 (cem mil cruzeiros) junto à SUL AMÉRICA COMPANHIA SEGURADORA S/A". - A contratação do seguro, portanto, era de responsabilidade exclusiva da locatária. - Logo, não há como falar-se em omissão da antecessora e nem na falta de exigência do cumprimento da obrigação, já que a apelação dela estava mais do que ciente. - A mora, porque a obrigação não ficou subordinada a qualquer ato do credor, conforme enfatizou ao magistrado, é ex-ré. - O locatário não tem obrigação legal de fazer o seguro. Todavia, quando se obriga a fazê-lo e deixa de cumprir a obrigação, como ocorreu na espécie, comete grave infração do contrato e aumenta o risco do locador. - Consequentemente, a sua omissão importou em carência da ação renovatória. Ac. de 05-08-1993 Arquivo do EMFOR - TA/2.387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carecedor de ação renovatória, por inexato cumprimento do contrato, o inquilino que se omite em manter o imóvel segurado apesar de estar obrigado contratualmente a fazê-lo.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2026-10-26T03:03:11.368Z</dcterms:created>
  <dcterms:modified xsi:type="dcterms:W3CDTF">2026-10-26T03:03:11.368Z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