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/>
    <w:p>
      <w:r>
        <w:t xml:space="preserve">NOVO ALUGUEL — FIXAÇÃO COM BASE NAS BENFEITORIAS REALIZADAS PELO LOCATÁRIO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perito, nos esclarecimentos que prestou, às ..., destacou na estimativa para o aluguel, não só o valor com as benfeitorias realizadas pela locatária como também sem elas. - E a ínclita prolatora da sentença apelada acertadamente adotou a fixação do locativo desconsiderando as benfeitorias realizadas pela locatária, pois não seria justo que pagasse aluguel sobre aquilo que construiu e que, afinal, será incorporado ao patrimônio da locadora. Ac. de 18-08-1993 Arquivo do EMFOR - TA/2.411 EMFOR 547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fixação do aluguel, devem ser desconsideradas as benfeitorias realizadas pela inquilina, pois ao final do contrato irão aumentar o patrimônio da locadora, conforme cláusula contratualmente estabelecida.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2026-07-27T23:37:25.583Z</dcterms:created>
  <dcterms:modified xsi:type="dcterms:W3CDTF">2026-07-27T23:37:25.583Z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