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LOCAÇÃO COMERCIAL</w:t>
      </w:r>
    </w:p>
    <w:p>
      <w:r>
        <w:rPr>
          <w:i/>
          <w:iCs/>
          <w:color w:val="666666"/>
        </w:rPr>
        <w:t xml:space="preserve">RETOMADA PARA USO PRÓPRIO</w:t>
      </w:r>
    </w:p>
    <w:p/>
    <w:p>
      <w:r>
        <w:rPr>
          <w:b/>
          <w:bCs/>
        </w:rPr>
        <w:t xml:space="preserve">Recurso: </w:t>
      </w:r>
      <w:r>
        <w:t xml:space="preserve">apelação .</w:t>
      </w:r>
    </w:p>
    <w:p>
      <w:r>
        <w:rPr>
          <w:b/>
          <w:bCs/>
        </w:rPr>
        <w:t xml:space="preserve">Julgado em: </w:t>
      </w:r>
      <w:r>
        <w:t xml:space="preserve">01/10/1985</w:t>
      </w:r>
    </w:p>
    <w:p/>
    <w:p>
      <w:r>
        <w:t xml:space="preserve">DECADÊNCIA — PRAZO - EXTINÇÃO - COMO OCORRE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 sentença está certa. Previsto o término da locação para 31-07-77. A ação deveria ser proposta, portanto, no mínimo, até 31-01-77, em obediência ao preceito contido no art. 4º do Decreto nº 24.150/34. A inicial foi despachada em 27-01-77; tempestivamente, pois. - Ocorreu, porém, ter ela sido distribuída somente em 16-06-77, pouco mais de um mês antes de fundar o quinquênio da locação. Não resta, assim, a menor dúvida de ter o demandante decaído do direito de renovar o contrato e, se exata é a afirmação da qual inexiste a menor demonstração, de o atraso dever-se a emperramento da máquina jurídica, deveria a apelante ter-se valido do disposto no art. 219, § 3º do CPC, o que não fez. - Demais, como acertadamente alegaram os demandados..., a autora não estava impedida, uma vez que expediente forense houve, de, uma vez despachada e distribuída a inicial, entregá-la em cartório, um só existente que fosse, tanto mais quando se considera dever o advogado, logo após o despacho, levar a petição ao distribuidor, o que sem dúvida também não fez bastando para tanto concluir o cotejo das datas acima referidas. - Em face do exposto meu voto é no sentido de negar provimento à apelação. Julgado em 02-10-1985 Arquivo do EMFOR, TA/693 EMFOR 452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Decai do direito de renovar a locação protegida pelo Decreto nº 24.150/34, o locatário que distribui a respectiva petição inicial fora do prazo previsto no art. 4º desse diploma legislativo.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2026-07-28T02:03:55.178Z</dcterms:created>
  <dcterms:modified xsi:type="dcterms:W3CDTF">2026-07-28T02:03:55.178Z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