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REsp 27.135-1/</w:t>
      </w:r>
    </w:p>
    <w:p/>
    <w:p>
      <w:r>
        <w:t xml:space="preserve">PRAZO — APLICAÇÃO DA LEI NOVA - OFENSA A DIREITO ADQUIRIDO OU DE CONTRATO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prosperar. - Com efeito, a Lei 8.178/91, editada posteriormente à propositura da ação, reduziu o prazo para o exercício do pedido de revisão do aluguel de cindo para três anos. - Tal legislação, por conter disposições de ordem processual, produzindo efeitos imediatos, foi de logo aplicada ao caso dos autos, resultando afastada a alegada carência da ação, dando o Juiz por preenchida a exigência da lei. - Em sendo assim, forçoso é reconhecer que não houve violação de direito adquirido ou de violação de contrato, eis que estes não podem prevalecer sobre leis imperativas. - No ponto, trago como ilustração o REsp. 27.135-1/SP, rel. Min. JOSÉ CÂNDIDO: "Lei nova - Aplicação imediata aos contratos vigentes - Prazo revisional trienal para contratos antigos - Prevalência da Lei 8.178/91, art. 17, Parágrafo 1º e 2º, sobre a Lei 6.649/79, art. 29, Parágrafo 5º. A lei nova prevalece sobre a antiga, no que tange ao prazo revisional de locação, não implicando tal aspecto em violação de direito adquirido ou de contrato, eis que estes não podem prevalecer sobre leis imperativas, cogentes". - Também o REsp. 25.712, de que fui relator: "Civil - Locação residencial - Ação revisional de aluguel - Prevalência da lei nova sobre a antiga - Prazo revisional para contratos antigos. Não há que se falar em ofensa a direito adquirido ou de contrato porque estes não podem suplantar leis imperativas quando a lei nova prevalecer sobre a antiga em matéria da prazo revisional de alugueres". Ac. de 14-05-1996 DJU 02.09.1996 Revista dos Tribunais - Janeiro de 1997 - Vol 735 - Pág. 218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ofensa a direito adquirido ou de contrato porque estes não podem suplantar leis imperativas quando a lei nova prevalecer sobre a antiga em matéria de prazo revisional de alugueres.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2026-10-26T03:04:57.919Z</dcterms:created>
  <dcterms:modified xsi:type="dcterms:W3CDTF">2026-10-26T03:04:57.919Z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