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>
      <w:r>
        <w:rPr>
          <w:b/>
          <w:bCs/>
        </w:rPr>
        <w:t xml:space="preserve">Recurso: </w:t>
      </w:r>
      <w:r>
        <w:t xml:space="preserve">RE 50.065</w:t>
      </w:r>
    </w:p>
    <w:p/>
    <w:p>
      <w:r>
        <w:t xml:space="preserve">NOVO ALUGUEL — A PARTIR DE QUANDO É DEVIDO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ação revisional do artigo 31 do Decreto nº 24.150, de 20.04.34, o aluguel arbitrado vigora a partir do laudo pericial. Referência: - Decreto nº 24.150, de 20 de abril de 1034, art. 31. RE 50.065, de 26.06.62; RE 41.437, de 29.03.63 (D. de Just. de 17.07.63, p. 520); AG 26.312 (D. de Just. de 16.11.62, p. 661). Aprovada em Sessão de 13-12-1963 - pág. 93 EMENTÁRIO FORENSE. Janeiro, 1965. Ano XVII. Nº 194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2026-07-27T23:37:18.781Z</dcterms:created>
  <dcterms:modified xsi:type="dcterms:W3CDTF">2026-07-27T23:37:18.781Z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