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Ap. 164-285</w:t>
      </w:r>
    </w:p>
    <w:p>
      <w:r>
        <w:rPr>
          <w:b/>
          <w:bCs/>
        </w:rPr>
        <w:t xml:space="preserve">Julgado em: </w:t>
      </w:r>
      <w:r>
        <w:t xml:space="preserve">03/03/1985</w:t>
      </w:r>
    </w:p>
    <w:p/>
    <w:p>
      <w:r>
        <w:t xml:space="preserve">CLÁUSULA DE VIGÊNCIA — INEXISTÊNCIA - QUANDO NÃO HÁ OBRIGAÇÃO DE RESPEITAR 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Decretou-se a carência da ação, porque, anteriormente à venda, achava-se em curso ação renovatória promovida pelo réu-inquilino contra a antiga proprietária, afinal julgada procedente pelo Juízo de primeiro grau. - Tem-se orientado a jurisprudência desta C. Corte, entretanto, em sentido contrário, desde que inexista cláusula de vigência contra terceiros. - Com efeito, afirmou o aresto relatado pelo Juiz MURILO PINTO, "verbis": "A locação já renovada por sentença passada em julgado, proferida em ação renovatória da qual não participou o adquirente, equipara-se à locação voluntariamente contratada. O novo proprietário não está obrigado a respeitá-la, ainda que em vigor o respectivo prazo e desde que inexistente a cláusula de vigência contra terceiros" (cf. TACivSP 73/293). - Nesse sentido afirma-se também, Ap. 164-285, relatada pelo Juiz CARRETA PRATS; Ap. 157.965, * relatada pelo Juiz ADELINO MENDEZ; J. NASCIMENTO FRANCO e NISSKE GONDO, "in" "Ação Renovatória e Ação Revisional de Aluguel", p. 50, ed. 1968. - Na espécie, a despeito de a distribuição da ação renovatória implicar a presunção de conhecimento da locação, dada a inexistência de contrato escrito com cláusula de vigência, era possível o ajuizamento da ação por parte do adquirente. - Ante o exposto, julgaram renunciado o agravo retido e deram provimento ao recurso para o efeito de ser afastada a carência da ação para que o MM. Juiz de primeiro grau aprecie a controvérsia pelo seu mérito. Julgado em 04-03-1985 Revista dos Tribunais. Maio, 1985 - Vol. 595 - Pág. 170 (*) RT 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14 da Lei nº 6.649/79. - Inexistente a cláusula de vigência do contrato contra terceiros, a sentença passada em julgado proferida em ação renovatória de que não participou o adquirente equipara-se à locação voluntariamente contratada, não havendo obrigação do novo proprietário de respeitá-la.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2026-07-27T23:36:58.376Z</dcterms:created>
  <dcterms:modified xsi:type="dcterms:W3CDTF">2026-07-27T23:36:58.376Z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