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Julgado em: </w:t>
      </w:r>
      <w:r>
        <w:t xml:space="preserve">28/05/1985</w:t>
      </w:r>
    </w:p>
    <w:p/>
    <w:p>
      <w:r>
        <w:t xml:space="preserve">DIFERENÇAS VERIFICAS EM AÇÃO REVISIONAL E RENOVAÇÃO DE LOCAÇÃO — QUANDO NÃO INCIDE CORREÇÃO MONETÁRIA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ajuizou contra os recorridos ação de renovação de contrato de locação comercial e contra ele foi por estes ajuizada ação de revisão de aluguel, ambas julgadas procedentes, restando, apenas, em liquidação das sentenças, apurar as diferenças de aluguel. - Pretendem os locadores incidência de correção monetária sobre essas diferenças e a locatária entende ser indevida ou, quando muito, a partir do trânsito em julgado da sentença única para os dois processos, além de dever somente ser atribuído metade do valor aos recorridos, porque somente são proprietários de 50% do imóvel. - A questão, portanto, está restrita à incidência ou não da correção monetária, já que os recorridos reconhecem que somente tem direito a 50% do total apurado..., e como o agravo retido nada mais é do que repetição do que se pretende na apelação, remeto a sua apreciação a ser decidida em conjunto. - As sentenças proferidas em ações de revisão de aluguel e renovatória de contrato de locação comercial são meramente constitutivas e não condenatórias, não comportando, assim, a aplicação de correção monetária, salvo se prevista no contrato ou disposição expressa na sentença, o que não ocorre na espécie. - A correção monetária somente é devida se o locador é obrigado a cobrá-la mediante nova ação - execução, até mesmo porque, se ajuizada por ação de despejo, por falta de pagamento, indevida também é. - Voto, pois, no sentido de se dar provimento parci al ao recurso, para que o cálculo seja feito sem a incidência da correção monetária, vez que, quanto à questão de somente os recorridos poderem receber 50% do total é por eles reconhecido. Julgado em 29-05-1985 Arquivo do EMFOR, TA/678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correção monetária sobre as diferenças de alugueres devidos em decorrência de ações de revisão de aluguel e renovatória de contrato de locação, quando não prevista no contrato ou não deferida na sentença. - A incidência somente ocorre se o locador for obrigado a ingressar em juízo com nova ação para a sua cobrança, via execução, porque, até, em sendo ação de despejo, por falta de pagamento, também indevida é a correção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2026-10-26T03:08:02.182Z</dcterms:created>
  <dcterms:modified xsi:type="dcterms:W3CDTF">2026-10-26T03:08:02.182Z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