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TRF</w:t>
      </w:r>
    </w:p>
    <w:p>
      <w:r>
        <w:rPr>
          <w:b/>
          <w:bCs/>
        </w:rPr>
        <w:t xml:space="preserve">Relator: </w:t>
      </w:r>
      <w:r>
        <w:t xml:space="preserve">JOSÉ DELGADO</w:t>
      </w:r>
    </w:p>
    <w:p/>
    <w:p>
      <w:r>
        <w:t xml:space="preserve">TÁXI — PERMANÊNCIA DO BEM EM PODER DO DEVEDOR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judiciosas razões do eminente Relator foram assim deduzidas (fls. ...): "Penso haver motivos para se prover o presente agravo, não obstante as louváveis considerações arroladas pelo ilustre Magistrado singular em seu despacho. Portanto, merece reforma a douta decisão impugnada pelos fundamentos aqui esposados. - Verifico que não foi dada oportunidade ao agravante, na ação de busca e apreensão, de apresentar sua defesa, o que constitui flagrante violação ao devido processo legal consagrado em nossa Constituição Federal de 1988. - Não me parece de bom proceder determinar, ainda que em mora o devedor, a busca e apreensão do bem alienado fiduciariamente, sem que ao mesmo seja oferecida a chance de contestar os fatos alegados pela requerente (CEF). - Em existindo, na espécie, duas ações correlatas, a consignatória em pagamento, ajuizada pelo agravante, e a de busca e apreensão, interposta pela agravada, salutar à decisão final que se tenha cautela para que se permita que o bem em juízo, no caso o veículo táxi, permaneça na situação originária e prestando os serviços a ela destinados pelo contrato a que se vincula. - Observa-se que em sua ação autônoma (a de busca e apreensão) a CEF pretendeu, através do deferimento da liminar, a satisfação do débito. - Assim, com a busca e apreensão do bem alienado, esgotar-se-ia o objeto daquela demanda antes mesmo do seu início, privando-se o agravante de um bem que pode constituir o único meio de sobrevivência seu e de sua família, inclusive para buscar recursos necessários ao financiamento de sua defesa e mesmo os meios para saldar suas obrigações. - Explicitando mais claramente: o indeferimento da liminar de busca e apreensão do bem, pouco ou nenhum prejuízo acarretaria à agravada - CEF, que, em sendo vitoriosa na demanda, teria a restituição do bem alienado fiduciariamente. - O mesmo não se pode dizer do agravante caso tenha o seu veículo apreendido. O prejuízo que tal ato lhe será, sem dúvida, muito mais danoso, pois antes mesmo de ser declarado vencedor ou vencido após o julgamento da ação que contra si foi proposta, terá sofrido, antecipadamente, a sua punição. - O Egrégio Plenário desta Corte Regional já se pronunciou, em decisão unânime, sobre o tema qui versado, conforme ementa que registro: "AGRAVO REGIMENTAL. LIMINAR QUE DETERMINA EFEITO SUSPENSIVO A AGRAVO DE INSTRUMENTO. I - Busca e apreensão de táxi financiado pela Caixa Econômica Federal. Concomitância de ações de consignação em pagamento e de busca e apreensão correndo em Juízo. II - Permanência da coisa (táxi) em poder do financiado, não só por ser o único meio de manutenção de si mesmo e de sua família, além de sua exploração facilitar a aquisição de meios para cumprimento das obrigações assumidas. III - Situação provisória até decisão final das demandas. IV - Agravo Regimental improvido" (AgRg no MS n. 47.868/PE, Rel. Juiz JOSÉ DELGADO). - O apelo merece reexame pela divergência pretoriana. - Sem razão, porém, a Caixa Econômica recorrente. - A tese jurídica acolhida pelo aresto recorrido, da lavra do eminente Min. JOSÉ DELGADO, quando pontificava naquele Colegiado Regional (TRF - PE), é escorreita e encontra ressonância também em julgados da Terceira Turma, como o AGA n. 124.618/PR, de minha relatoria, assim ementado: "AGRAVO DE INSTRUMENTO. AGRAVO REGIMENTAL. ALIENAÇÃO FIDUCIÁRIA. BUSCA E APREENSÃO. PERMANÊNCIA DOS BENS COM O DEVEDOR. MATÉRIA DE PROVA. I - Maquinário indispensável à atividade da empresa devedora, apreendido em ação de busca e apreensão, pode permanecer na posse da Ré. Tal desiderato não ofende dispositivos do Decreto-lei n. 911/69. II - Tal fundamento requer reavaliação de fatos soberanamente analisados pelas instâncias ordinárias, o que é defeso ante a Súmula n. 7/STJ". - Tenho que a questão como posta pelo acórdão e a solução que aponta para o conflito de interesses, não afronta a lei. Ao contrário, harmoniza-se com o que nela disposto sem causar gravame às partes. Litigando-se em ações concorrentes, cujo mérito e o valor devido e a pagar, outra, penso, não haveria mesmo de ser a solução. - Fortes nesses lineamentos, não conheço do recurso. Ac. de 03-02-1998 Arquivo do EMFOR, STJ/N 2.777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existindo, na espécie, duas ações correlatas, a consignatória em pagamento, ajuizada pelo agravante, e a de busca e apreensão, interposta pela agravada, salutar à decisão final que se tenha cautela para que se permita que o bem em juízo, no caso o veículo táxi, permaneça na situação originária e prestando os serviços a ela destinados pelo contrato a que se vincula.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2026-10-26T03:21:28.236Z</dcterms:created>
  <dcterms:modified xsi:type="dcterms:W3CDTF">2026-10-26T03:21:28.236Z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