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52.406</w:t>
      </w:r>
    </w:p>
    <w:p/>
    <w:p>
      <w:r>
        <w:t xml:space="preserve">PROCEDÊNCIA — INDENIZAÇÃO AO LOCATÁRIO - EM QUE DEVE CONSISTIR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retomada para construção mais útil de imóvel sujeito ao Dec. nº 24.150, de 20.04.34, a indenização se limita às despesas de mudança. Referência: Dec. nº 24.150, de 20.04.34, art. 8º e 21 RE 52.406, de 08.06.64; RE 54.765, de 12.06.64; RE 47.900, de 17.07.61; RE 35.099, de 03.01.61. ERE 24.440, de 25.08.58 (R.T.J. 7/193) ERE 47.857, de 23.04.62. Ag 29.192, de 07.05.63 (D.J. de 11.07.63, p. 514). Sessão de 01-10-1964 DJ nº 189, de 8 de outubro de 1964 - Adendo nº 3 - pág. 3.645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2026-10-26T03:24:28.078Z</dcterms:created>
  <dcterms:modified xsi:type="dcterms:W3CDTF">2026-10-26T03:24:28.078Z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