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35.099</w:t>
      </w:r>
    </w:p>
    <w:p/>
    <w:p>
      <w:r>
        <w:t xml:space="preserve">PROCEDÊNCIA — INDENIZAÇÃO AO LOCATÁRIO - DESPESAS DE MUDANÇA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retomada, para construção mais útil, de imóvel sujeito ao Decreto nº 24.150, de 20.04.34, é sempre devida indenização para despesas de mudança do locatário. Referência: - Decreto citado, artigos 8º, 21 e 22. RE 35.099, de 03.01.61; RE 28.119, de 28.05.63; AG 29.192, de 14.05.63 (D. de Just. de 11.07.63, p. 514); ERE 49.201, de 27.07.62 (D. de Just. de 13.12.62, p. 841). Aprovada em Sessão de 13-12-1963 - pág. 94 EMENTÁRIO FORENSE. Janeiro, 1965. Ano XVII. Nº 194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2026-09-11T00:26:14.017Z</dcterms:created>
  <dcterms:modified xsi:type="dcterms:W3CDTF">2026-09-11T00:26:14.017Z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