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>
      <w:r>
        <w:rPr>
          <w:b/>
          <w:bCs/>
        </w:rPr>
        <w:t xml:space="preserve">Recurso: </w:t>
      </w:r>
      <w:r>
        <w:t xml:space="preserve">RE 35.099</w:t>
      </w:r>
    </w:p>
    <w:p/>
    <w:p>
      <w:r>
        <w:t xml:space="preserve">PROCEDÊNCIA — INDENIZAÇÃO AO LOCATÁRIO - DESPESAS DE MUDANÇA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retomada, para construção mais útil, de imóvel sujeito ao Decreto nº 24.150, de 20.04.34, é sempre devida indenização para despesas de mudança do locatário. Referência: - Decreto citado, artigos 8º, 21 e 22. RE 35.099, de 03.01.61; RE 28.119, de 28.05.63; AG 29.192, de 14.05.63 (D. de Just. de 11.07.63, p. 514); ERE 49.201, de 27.07.62 (D. de Just. de 13.12.62, p. 841). Aprovada em Sessão de 13-12-1963 - pág. 94 EMENTÁRIO FORENSE. Janeiro, 1965. Ano XVII. Nº 194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2026-10-26T03:10:16.171Z</dcterms:created>
  <dcterms:modified xsi:type="dcterms:W3CDTF">2026-10-26T03:10:16.171Z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