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/>
    <w:p>
      <w:r>
        <w:t xml:space="preserve">PROVA DE TRANSFERÊNCIA DO FUNDO DE COMÉRCIO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retomada foi muito bem negada pelo Dr. Juiz a quo, e além do fundamento por ele utilizado é bom não esquecer que o Réu pediu a retomada de uma locação comercial para fim residencial e também para servir de consultório a seu filho. - Para fim residencial, a lei não autoriza a retomada de um imóvel protegido pela Lei de Luvas. O consultório é o lugar onde o profissional liberal presta o seu serviço. Jamais caracterizando estabelecimento comercial, gerador de fundo de comércio. Sem a prova de que o descendente está transferindo fundo de comércio existente há mais de um ano, não há mesmo como se pode poder deferir tal retomada. Ac. de 16-05-1989 Arquivo do EMFOR - TA/2.208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hipótese de retomada para pessoa da família, é mister que se faça prova de que o beneficiário está transferindo fundo de comércio existente há mais de um ano. O consultório médico não caracteriza locação comercial protegida pela Lei de Luvas.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2026-10-26T03:24:25.706Z</dcterms:created>
  <dcterms:modified xsi:type="dcterms:W3CDTF">2026-10-26T03:24:25.707Z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