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/>
    <w:p>
      <w:r>
        <w:t xml:space="preserve">LOCADOR COMO PARTE — PARTICIPAÇÃO PREPONDERANTE NO CAPITAL SOCIAL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Quanto à retomada deseja o réu destinar o imóvel à instalação de filial de sua firma. Não diz que firma é essa, tudo levando a crer tratar-se daquela cujo contrato social exibe... A jurisprudência orientou-se no sentido de que o retomante, nessa hipótese, há de participar predominantemente do capital social, orientação essa consagrada na Súmula 486 (*), da Suprema Corte. Na espécie, o retomante não satisfaz a exigência, segundo se lê no referido contrato social, não tendo direito, pois, a retomar. Ac. de 30-10-1985 Arquivo do EMFOR, TA/712 (*) "Admite-se a retomada para sociedade da qual o locador, ou seu cônjuge, seja sócio, com participação predominante no capital social." ("EMENTÁRIO FORENSE", Nº 255). EMFOR 456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tem direito o locador a retomar o imóvel para nele instalar firma de cujo capital social não participa preponderantemente.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2026-06-17T16:42:58.860Z</dcterms:created>
  <dcterms:modified xsi:type="dcterms:W3CDTF">2026-06-17T16:42:58.860Z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