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BENFEITORIAS</w:t>
      </w:r>
    </w:p>
    <w:p>
      <w:r>
        <w:rPr>
          <w:i/>
          <w:iCs/>
          <w:color w:val="666666"/>
        </w:rPr>
        <w:t xml:space="preserve">LOCATÁRIO CONTRA ADQUIRENTE</w:t>
      </w:r>
    </w:p>
    <w:p/>
    <w:p/>
    <w:p>
      <w:r>
        <w:t xml:space="preserve">LOCADOR COMO PARTE — PARTICIPAÇÃO PREPONDERANTE NO CAPITAL SOCIAL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retomada deseja o réu destinar o imóvel à instalação de filial de sua firma. Não diz que firma é essa, tudo levando a crer tratar-se daquela cujo contrato social exibe... A jurisprudência orientou-se no sentido de que o retomante, nessa hipótese, há de participar predominantemente do capital social, orientação essa consagrada na Súmula 486 (*), da Suprema Corte. Na espécie, o retomante não satisfaz a exigência, segundo se lê no referido contrato social, não tendo direito, pois, a retomar. Ac. de 30-10-1985 Arquivo do EMFOR, TA/712 (*) "Admite-se a retomada para sociedade da qual o locador, ou seu cônjuge, seja sócio, com participação predominante no capital social." ("EMENTÁRIO FORENSE", Nº 255). EMFOR 456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tem direito o locador a retomar o imóvel para nele instalar firma de cujo capital social não participa preponderantemente.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2026-09-10T23:29:52.674Z</dcterms:created>
  <dcterms:modified xsi:type="dcterms:W3CDTF">2026-09-10T23:29:52.674Z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