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/>
    <w:p>
      <w:r>
        <w:t xml:space="preserve">AÇÃO RENOVATÓRIA — SE ESTÁ SUJEITO AO PRAZO DO CONTRATO ENTRE LOCADOR E SUBLOCADOR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Rejeita-se a preliminar da primeira apelante. Trata-se de renovação de contrato de locação, e o contrato renovando não contém nenhuma cláusula condicionando a sublocação ao prazo do contrato da sublocadora. Ademais, a autora-sublocatária, preenche todos os requisitos que lhe asseguram a renovação. Se a primeira apelante procura precaver-se contra obrigações futuras, as suas apreensões somente poderão ser apreciadas e decididas oportunamente. No momento, desde que a apelada-sublocatária satisfaz as exigências do Decreto nº 24.150/34, faz ela jus à renovação, descabendo em conseqüência a retomada. Ac. de 18-12-1985 Arquivo do EMFOR, TA/713 EMFOR 456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sublocatário que preenche os requisitos para renovação da locação, não pode ficar sujeito ao prazo do contrato entre o locador e o sublocador, se o contrato renovando não contém nenhuma restrição.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2026-06-17T14:07:30.389Z</dcterms:created>
  <dcterms:modified xsi:type="dcterms:W3CDTF">2026-06-17T14:07:30.389Z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