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BENFEITORIAS</w:t>
      </w:r>
    </w:p>
    <w:p>
      <w:r>
        <w:rPr>
          <w:i/>
          <w:iCs/>
          <w:color w:val="666666"/>
        </w:rPr>
        <w:t xml:space="preserve">LOCATÁRIO CONTRA ADQUIRENTE</w:t>
      </w:r>
    </w:p>
    <w:p/>
    <w:p>
      <w:r>
        <w:rPr>
          <w:b/>
          <w:bCs/>
        </w:rPr>
        <w:t xml:space="preserve">Recurso: </w:t>
      </w:r>
      <w:r>
        <w:t xml:space="preserve">Apelação Cível 52.121</w:t>
      </w:r>
    </w:p>
    <w:p/>
    <w:p>
      <w:r>
        <w:t xml:space="preserve">REAJUSTAMENTO — ADVENTO DO PLANO CRUZADO - INEXISTÊNCIA DE CONFLITO COM O DECRETO REGULAMENTADOR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Alega-se conflito entre as normas do artigo 9º do Decreto-Lei nº 2.284/86 e o artigo 7º do Decreto nº 92.592/86. - Verifica-se que o Decreto regulamentou a norma geral no artigo 9º do Decreto-Lei, disciplinando de forma exemplificativa as sub espécies do gênero obrigações pecuniárias, sem que isso representasse violação de qualquer princípio constitucional. - Não há incompatibilidade entre a expressão "pro rata tempore" e a regra do inciso I do artigo 7º do Decreto 92.592. - A Lei excepcionou quanto aos aluguéis residenciais e disciplinou, de forma exemplificativa, dentre outras obrigações, os dos aluguéis de imóveis não residenciais, adotando tabela própria. - Nesse sentido já decidiu esta Câmara na Apelação Cível nº 52.121, em 16-12-86. - Por isso, dá-se provimento ao apelo para, reformada a sentença, julgar improcedente o pedido, condenando a Autora nas custas do processo e em verba honorária de 10% sobre o valor da causa. Ac. de 11-08-1987 Arquivo do EMFOR, TA/872 EMFOR 476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norma geral, relativamente as obrigações pecuniárias, foi tão somente particularizada no Decreto regulamentador, que estabeleceu regime próprio para cada sub-espécie daquele gênero, inclusive destacando os aluguéis residenciais, sempre impregnados de conteúdo protecionista e, em outro ítem, os aluguéis de imóveis residenciais que seguem a tabela própria.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2026-09-10T23:19:26.494Z</dcterms:created>
  <dcterms:modified xsi:type="dcterms:W3CDTF">2026-09-10T23:19:26.494Z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