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BENFEITORIAS</w:t>
      </w:r>
    </w:p>
    <w:p>
      <w:r>
        <w:rPr>
          <w:i/>
          <w:iCs/>
          <w:color w:val="666666"/>
        </w:rPr>
        <w:t xml:space="preserve">LOCATÁRIO CONTRA ADQUIRENTE</w:t>
      </w:r>
    </w:p>
    <w:p/>
    <w:p/>
    <w:p>
      <w:r>
        <w:t xml:space="preserve">QUANDO SE NEUTRALIZA A CLÁUSULA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O ponto de controvérsia entre as partes está em se saber se o locador teria ou não, validamente, notificado à sua locatária, ora apelante, no sentido de que não desejava a recondução do contrato, a fim de neutralizar os efeitos da cláusula 7ª do mesmo. - A ilustre julgadora de primeiro grau entendeu que essa notificação foi válida e oportunamente feita com a carta, de 5 de março de 1986, cujo original foi recebido pela locatária, como se vê induvidosamente desse próprio documento. - ................................................................................................................. - ... O primeiro aviso ou carta, teve por objetivo exatamente deixar claro que não queria o autor a recondução do contrato, isto é, não desejava, mais, a continuação da locação, como ali está expresso. - Produziu, pois, este documento, sem dúvida, o efeito de prévia manifestação do locador quanto à não prorrogação automática do contrato locativo, como ficara previsto na cláusula 7ª. E tornada sem efeito tal cláusula, a mesma não se restaura pela simples demora do locador no ajuizamento da ação da retomada. - Além disso, a outra carta, é mera confirmação da anterior, visando mais certamente, valer como notificação prévia, para viabilizar a propositura da ação, segundo praxe empregada por quase todos, nessas ações, de que essa notificação se faz necessária, embora a lei expressamente assim não disponha. - Afastados, assim, esses pontos fundamentais de defesa da apelante, no mérito, não lhe assiste qualquer razão, eis que se trata de denúncia imotivada, tendo o processo seguido os seus trâmites normais, culminado com o decreto de despejo, que está correto. - Negado provimento ao recurso. Ac. de 01-03-1988 Arquivo do EMFOR - TA/1.003 EMFOR 491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É de ser tida como neutralizada em seus efeitos a cláusula de recondução automática se o locador, por carta, informa à firma locatária que não mais deseja manter o contrato locatício, ainda que haja demora no ajuizamento da ação de retomada. (Ementa modificada pelo EMFOR)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2026-06-17T16:31:05.609Z</dcterms:created>
  <dcterms:modified xsi:type="dcterms:W3CDTF">2026-06-17T16:31:05.610Z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