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90.636</w:t>
      </w:r>
    </w:p>
    <w:p/>
    <w:p>
      <w:r>
        <w:t xml:space="preserve">QUAIS AS ENTIDADES FINANCEIRAS A QUE SE APLICA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Aqui... não se trata de empresa (de promoção e administração de consórcios para aquisição de bens), mas da própria empresa vendedora de trator, que para garantia de seu crédito, recebeu o bem mediante alienação fiduciária. DO VOTO DO MINISTRO MOREIRA ALVES NO RE 90.636 - SP - TP - Como é conhecido , a posição que defendo, em face da disciplina dada à alienação fiduciária em garantia pelo Decreto-lei nº 911/69, é a intermediária. Em meu livro "DA ALIENAÇÃO FIDUCIÁRIA EM GARANTIA" ..., examinei essa questão, e procurei demonstrar que, em virtude do artigo 66 da Lei 4.728, em sua redação originária, nenhum argumento válido havia para a restrição do uso da propriedade fiduciária por qualquer um, ainda que se tratasse de particular. O mesmo, porém, não ocorria em face da disciplina introduzida pelo Decreto-lei nº 911/69, como procurei mostrar com essas palavras: "Esse panorama se modificou, a nosso ver, com o advento do Decreto-lei nº 911. É certo que, também nele, se encontram as alusões genéricas, relativas à obrigações que podem ser garantidas pela alienação fiduciária, ao credor e ao devedor. Mais. É esse Decreto-lei explícito no sentido de admitir que a titularidade da garantia representada pela propriedade fiduciária pode, por subrogação legal, caber a qualquer particular, como se vê do seu art. 6º, que reza: "O avalista, fiador ou terceiro interessado que pagar a dívida do alienante ou devedor, se sub-rogará, de pleno direito, no crédito e na garantia constituída pela alienação fiduciária". - Entretanto, o Decreto-lei nº 911 - que visou, como declara a exposição de motivos transcrita nesta obra (introdução, nota 31), "a dar maiores garantias às operações feitas pelas financeiras, assegurando o andamento rápido dos processos, sem prejuízo da defesa, em ação própria, dos legítimos interesses dos devedores" -, ao disciplinar a ação de busca e apreensão, restringiu de tal forma a defesa do réu que tornou evidente a inaplicabilidade do instituto nas relações entre particulares. Com efeito, estabelecendo o § 2º do art. 3º do Decreto-lei nº 911 que, "Na contestação só se poderá alegar o pagamento do débito vencido ou cumprimento das obrigações contratuais." - E, no § 5º do mesmo artigo, que, "A sentença do Juiz, de que cabe agravo de instrumento, sem efeito suspensivo, não impedirá a venda extrajudicial do bem alienado fiduciariamente e consolidará a propriedade e a posse plena e exclusiva nas mãos do proprietário fiduciário". - Não poderá o réu sequer invocar, em sua defesa, a inexistência da própria relação obrigacional, ou - o que é relativamente comum nas relações entre particulares - a nulidade do empréstimo garantido em decorrência de juros usurários. Não se admitiu, ao menos como sucede com a venda a crédito com reserva de domínio (art. 344, § 6º, do Código de Processo Civil), que, contestada a ação pelo réu, seguirá ela o curso ordinário ainda que sem prejuízo da reintegração preliminar em favor do autor. Quebrou-se, portanto, dessa forma, o equilíbrio entre os interesses do credor e do devedor, dando-se tal prevalência àquele que, para não se chegar à iniquidade, facilitando-se, inclusive, usura, é mister se interprete restritivamente o termo credor, utilizado, genericamente, no referido Decreto-lei. - Em face da nova disciplina que o Decreto-lei nº 911 deu à alienação fiduciária em garantia, somente poderá o instituto ser utilizado pelas instituições financeiras em sentido amplo e por entidade s estatais ou paraestatais, ainda que não se enquadrem entre aquelas (como sucede com o INPS). Em ambos os casos, pela fiscalização a que está sujeito o credor ou pela presunção de que goza como entidade de natureza pública, bem como pelo interesse público que está em jogo, justifica-se a prevalência que se dá a proteção do credor e diminui-se o risco que sofre o devedor com o cerceamento de sua defesa, Ademais, ainda que ocorra a subrogação a que se refere o art. 6º do Decreto-lei nº 91, não haverá maior perigo no que diz respeito à usura, porquanto o particular (avalista, fiador ou terceiro interessado) apenas se sub-rogará no crédito que se constituirá em favor da instituição financeira ou da entidade estatal ou paraestatal. - Portanto, não aderimos à tese dominante, segundo a qual a alienação fiduciária em garantia só tem aplicação quando o credor é uma financeira, porque é instituto que se restringe ao âmbito do mercado de capitais. Entendemos que qualquer instituição financeira em sentido amplo (e, em conseqüência,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Sociedade comercial não financeira (em sentido estrito ou amplo) não pode se valer, em suas operações de venda de bens, da garantia de alienação fiduciária, prevista em legislação específica e de aplicação restrita a outras entidades. - Por isso mesmo não pode, com base nesta, propor ação de busca e apreensão ou de depósito do bem que invalidamente lhe tiver sido alienado em fidúcia.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2026-07-28T01:44:08.340Z</dcterms:created>
  <dcterms:modified xsi:type="dcterms:W3CDTF">2026-07-28T01:44:08.340Z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