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71.313</w:t>
      </w:r>
    </w:p>
    <w:p>
      <w:r>
        <w:rPr>
          <w:b/>
          <w:bCs/>
        </w:rPr>
        <w:t xml:space="preserve">Relator: </w:t>
      </w:r>
      <w:r>
        <w:t xml:space="preserve">XAVIER DE ALBUQUERQUE</w:t>
      </w:r>
    </w:p>
    <w:p/>
    <w:p>
      <w:r>
        <w:t xml:space="preserve">EXTINÇÃO DO FIDEICOMISSO — RECEBIMENTO DE ALUGUÉIS PELO FIDEICOMISSÁRIO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 decidem porque a douta sentença de primeiro grau, da lavra do insigne Juiz Dr. CARLOS COELHO LAVIGNE DE LEMOS, não merece qualquer reparo, passando os seus fundamentos em conseqüência e integrar o presente acórdão, na forma do art. 108, parágrafo 4º do Regimento Interno deste Tribunal. - Ressalte-se que houve anuência tácita com o recebimento de aluguéis após a extinção do fideicomisso, impedindo o exercício de verdadeira denúncia vazia. - Esta já era a orientação dominante na doutrina e no valor da prática dos tribunais sob a égide do direito anterior, conforme LUIZ ANTONIO DE ANDRADE e MARQUES FILHO, in "'Locação predial Urbana"'. T. 1, nº 210; ERE 71.313, Rel. Ministro XAVIER DE ALBUQUERQUE, apud WILSON BUSSADA, "Locações Interpretadas Pelos Tribunais, nº 163; RJTJGB, Vs. 12/291, 21/134 (v. JOÃO CARLOS PESTANA DE AGUIAR SILVA. "A Nova Lei do Inquilinato Comentada"; pág. 35). Ac. de 15-12-1989 Arquivo do EMFOR - TA/2.194 EMFOR 519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o exercício, do que denomina de "verdadeira denúncia vazia", pelo fideicomissário, em virtude da extinção do fideicomisso decorrente do falecimento do fiduciário, que locava o respectivo imóvel, se houver recebimento de aluguéis após a extinção, "pela anuência tácita" havida. (Trecho da Sentença).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2026-06-17T16:26:00.366Z</dcterms:created>
  <dcterms:modified xsi:type="dcterms:W3CDTF">2026-06-17T16:26:00.366Z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