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BENFEITORIAS</w:t>
      </w:r>
    </w:p>
    <w:p>
      <w:r>
        <w:rPr>
          <w:i/>
          <w:iCs/>
          <w:color w:val="666666"/>
        </w:rPr>
        <w:t xml:space="preserve">LOCATÁRIO CONTRA ADQUIRENTE</w:t>
      </w:r>
    </w:p>
    <w:p/>
    <w:p/>
    <w:p>
      <w:r>
        <w:t xml:space="preserve">COMPETÊNCIA DA JUSTIÇA FEDERAL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"A questão se resume em saber se o despejo decorrente de contrato de locação de pastagens e aguadas de terra da Reserva Kadweu é direito indígena e como tal da competência da Justiça Federal, ou é mera atividade meio, através da qual a FUNAI realiza atos de gestão ou administração para realização da política indigenista. A locação incide diretamente sobre terras reservadas os indígenas, com exploração de suas pastagens e aguadas, em detrimento de direitos assegurados ao silvícola, inclusive a posse direta do bem como esclarecem os artigos 18, 24, 26 da Lei 6.001; de 19-12-73. Pelo Estatuto do Índio, a União pode estabelecer área destinada à posse e a ocupação, "onde os índios possam viver e obter meios de subsistência com direito ao usufruto e utilização das riquezas naturais e dos bens nelas existentes" (art. 26). A reserva indígena é uma modalidade de fixação de área reservada, gerando direitos aos indígenas, quer em relação à posse ou ocupação, quer em relação às riquezas e bens gerados pela terra, que lhes ficam assegurados. Se o despejo se relaciona com a posse direta e esta pertence aos índios Kadweus, é evidente que sua discussão envolve um direito indígena que está sendo discutido por juízo que não detém a competência material para isso, nos termos fixados pela Lei Maior." - Penso estar correto o entendimento exposto. Não fossem terras indígenas, a locação estaria fora do conceito de direito indígena, mas em se cuidando de imóvel rural (fazenda) situada em reserva indígena, a questão, é de "direito indígena". - Por outro lado, é certo ter esta Seção precedente (C.C. 219 - DF), no sentido de ser da competência da Justiça Federal das causas em que a FUNAI é parte, por ser espécie do gênero autarquia. - Diante desses fundamentos, conheço do recurso para declarar competência do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questão oriunda de contrato de locação de terra situadas em reservas indígenas é de direito indígena.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2026-06-17T15:18:03.906Z</dcterms:created>
  <dcterms:modified xsi:type="dcterms:W3CDTF">2026-06-17T15:18:03.906Z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