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apelação .</w:t>
      </w:r>
    </w:p>
    <w:p/>
    <w:p>
      <w:r>
        <w:t xml:space="preserve">TERRENOS — VENDA - PAGAMENTO EM PRESTAÇÕES</w:t>
      </w:r>
    </w:p>
    <w:p/>
    <w:p>
      <w:pPr>
        <w:pStyle w:val="Heading2"/>
      </w:pPr>
      <w:r>
        <w:rPr>
          <w:b/>
          <w:bCs/>
        </w:rPr>
        <w:t xml:space="preserve">Ementa</w:t>
      </w:r>
    </w:p>
    <w:p>
      <w:r>
        <w:t xml:space="preserve">DECRETO-LEI Nº 58, DE 10 DE NOVEMBRO DE 1937 Dispõe sobre o loteamento e a venda de terrenos para pagamento em prestações. O Presidente da República dos Estados Unidos do Brasil, usando da atribuição que lhe confere o art. 180 da Constituição: Considerando o crescente desenvolvimento da loteação de terrenos para venda mediante pagamento do preço em prestações; Considerando que as transações assim realizadas não transferem o domínio ao comprador, uma vez que o art. 1.088 do Código Civil permite a qualquer das partes arrepender-se antes de assinada a escritura de compra e venda; Considerando que esse dispositivo deixa praticamente sem amparo numerosos compradores de lotes, que tem assim por exclusiva garantia a seriedade, a boa-fé e a solvabilidade das empresas vendedoras; Considerando que, para segurança das transações realizadas mediante contrato de compromisso de compra e venda de lotes, cumpre acautelar o compromissário contra futuras alienações ou onerações dos lotes comprometidos; Considerando ainda que a loteação e venda de terrenos urbanos e rurais se opera freqüentemente sem que aos compradores seja possível a verificação dos títulos de propriedade dos vendedores; Decreta: Art. 1º - Os proprietários ou co-proprietários de terras rurais ou terrenos urbanos, que pretendam vendê-los, divididos em lotes e por oferta pública, mediante pagamento do preço a prazo em prestações sucessivas e periódicas, são obrigados, antes de anunciar a venda, a depositar no Cartório do Registro de Imóveis da circunscrição respectiva: I - um memorial por eles assinado ou por procuradores com poderes especiais, contendo: a) denominação, área, limites, situação e outros característicos do imóvel; b) relação cronológica dos títulos de domínio, desde 30 (trinta) anos, com indicação da natureza e data de cada um, e do número e data das transcrições, ou cópia autêntica dos títulos e pr ova de que se acham devidamente transcritos; c) plano de loteamento de que conste o programa de desenvolvimento urbano, ou de aproveitamento industrial ou agrícola; nesta última hipótese, informações sobre a qualidade das terras, águas, servidões ativas e passivas, estradas e caminhos, distância da sede do município e das estações de transportes de acesso mais fácil; II - planta do imóvel, assinada também pelo engenheiro que haja efetuado a medição e o loteamento e com todos os requisitos técnicos e legais; indicadas a situação, as dimensões e a numeração dos lotes, as dimensões e a nomenclatura das vias de comunicação e espaços livres, as construções e benfeitorias, e as vias públicas de comunicação; III - exemplar de caderneta ou do contrato-tipo de compromisso de venda dos lotes; IV - certidão negativa de impostos e de ônus reais; V - certidão dos documentos referidos na letra "b", do n° I. § 1° - Tratando-se de propriedade urbana, o plano e a planta de loteamento devem ser previamente aprovados pela Prefeitura Municipal, ouvidas, quanto ao que lhes disser respeito, as autoridades sanitárias, militares e, desde que se trate de área total ou parcialmente florestada, as autoridades florestais.(Alterado pela Lei nº 4.778, de 22 de setembro de 1965) § 2° - As certidões positivas da existência de ônus reais, de impostos e de qualquer ação real ou pessoal, bem como qualquer protesto de título de dívida civil ou comercial não impedem o registro. § 3° - Se a propriedade estiver gravada de ônus real, o memorial será acompanhado de escritura pública em que o respectivo titular estipule as condições em que se obriga a liberar os lotes no ato do instrumento definitivo de compra e venda. § 4° - O plano de loteamento poderá ser modificado quanto aos lotes não comprometidos e o de arruamento desde que a modificação não prejudique os lotes comprometidos ou definitivamente adquiridos, se a Prefeitura Municipal aprovar a modificação. A planta e o memorial assim aprovados serão depositados no Cartório do Registro para nova inscrição observando o disposto no art. 2°, e parágrafos. § 5° - O memorial, o plano de loteamento e os documentos depositados serão franqueados, pelo oficial do registro, ao exame de qualquer interessado, independentemente do pagamento de emolumentos, ainda que a título de busca. O oficial, neste caso, receberá apenas as custas regimentais das certidões que fornecer. § 6º - Sob pena de incorrerem em crime de fraude, os vendedores, se quiserem invocar, como argumento de propaganda, a proximidade do terreno com algum acidente geográfico, cidade, fonte hidro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2026-07-28T02:22:01.399Z</dcterms:created>
  <dcterms:modified xsi:type="dcterms:W3CDTF">2026-07-28T02:22:01.399Z</dcterms:modified>
</cp:coreProperties>
</file>

<file path=docProps/custom.xml><?xml version="1.0" encoding="utf-8"?>
<Properties xmlns="http://schemas.openxmlformats.org/officeDocument/2006/custom-properties" xmlns:vt="http://schemas.openxmlformats.org/officeDocument/2006/docPropsVTypes"/>
</file>