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Julgado em: </w:t>
      </w:r>
      <w:r>
        <w:t xml:space="preserve">08/08/1986</w:t>
      </w:r>
    </w:p>
    <w:p/>
    <w:p>
      <w:r>
        <w:t xml:space="preserve">GUIAS E SARJETAS — REEMBOLSO DAS DESPESAS - A QUEM COMPETE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registro do projeto de loteamento, as vias e praças passaram a integrar automaticamente o domínio público municipal (art. 22 da Lei 6.766/79)(*). - No caso dos autos, a Prefeitura até já efetuou os lançamentos do IPTU e taxas municipais incidentes sobre os lotes. - Só esses fatos mostram a inviabilidade da cobrança, por parte da loteadora, das despesas por ela feitas com construção e manutenção de guias e sarjetas. - Nesse sentido, muita razão assiste ao MM. Juiz ao fazer paralelismo com a cobrança de taxas municipais se nem mesmo o Município poderia cobrar taxas (ou despesas, o nome realmente não vem ao caso) de guias e sarjetas, com maior razão não poderia fazê-lo a loteadora. - Tal previsão contratual não favorece as rés - É verdade que a cláusula 8ª específica as obras a que a loteadora se obrigou, junto a Prefeitura e aos adquirentes, entre as quais não se encontram as de guias e sarjetas. - E é também verdade que a cláusula 9ª permite à loteadora executar &lt;&lt;outras benfeitorias&gt;&gt; e cobrar dos compradores os respectivos custos. - Mas daí não se segue que a cobrança seja legítima. - A disposição da cláusula 9ª é francamente genérica e incompatível com o rigorismo e precisão exigidos pela lei (art. 26) nesse tipo de contrato, sob forma de oferta pública. - Com efeito, inconcebível que a lei exigisse tantos pormenores expressos no contrato quanto ao preço (forma e local do pagamento, valor do sinal limite de multa, taxa dos juros etc.) e deixasse em aberto a possibilidade de o loteador se reembolsar de despesas com obras elementares do loteamento, como é o caso das guias e sarjetas. - Seria dar um cheque em branco ao loteador. - É de se lembrar que problemática do loteamento difere muito da incorporação imobiliária . - Nesta permite-se o custeio de obras. - Mas com a maior cautela: as obras e respectivos orçamentos são especificados, o andamento das obras é comunicado etc., etc., (arts. 32, &lt;&lt;h&gt;&gt; e § 10, 35, §6º, 39, 43, I - VI e 48 e ss. da Lei 4.791/64 etc.). - Na Lei de Loteamentos nada disso se vê, exatamente por que não há que se falar em reembolso de despesas. - Pode-se imaginar, em tese, algum tipo de loteamento fechado e fora da zona urbana em que reembolso de custos pudesse ser estipulado com precisão. - Todavia, em hipótese como a dos autos, de oferta pública e de provisão contratual genéricas, o reembolso é inteiramente inviável, haja ou não abuso por parte do loteador. - Na verdade, a r. sentença muito bem decidiu a questão e é confirmada, por seus sólidos fundamentos, pelo que é negado provimento a ambos os recursos. Julgado em 09-08-1986 Revista dos Tribunais. - Vol. 013 - Pág. 77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loteamento não se permite o custeio de obras, não havendo fundamentos para o reembolso de despesas efetuadas com a execução de guias e sarjetas, mesmo que constante de cláusula contratual, posto que elementares ao empreendimento.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2026-07-28T00:04:32.299Z</dcterms:created>
  <dcterms:modified xsi:type="dcterms:W3CDTF">2026-07-28T00:04:32.299Z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