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MS 7.689</w:t>
      </w:r>
    </w:p>
    <w:p/>
    <w:p>
      <w:r>
        <w:t xml:space="preserve">SE PROMOVE AUTOMATICAMENTE O JUIZ OU SE INTERROMPE O EXERCÍCIO DE SUAS FUNÇÕES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elevação da entrância da comarca não promove automaticamente o juiz, mas não interrompe o exercício de suas funções na mesma comarca. Referência: - Const. Fed., artigos 95, I e II e 124, IV. RMS 7.689, de 14.04.61; RMS 10.570, de 17.04.63; RMS 11.086, de 27.05.63 (D. de Just. de 08.08.63, p. 641) RMS 11.111, de 13.05.63 (D. de Just. de 18.07.63, p. 541). Aprovada em Sessão de 13-12-1963 - pág. 46 N. da R. : Pareceu-nos que o enunciado podia ter melhor redação: "A ELEVAÇÃO DA ENTRÂNCIA DA COMARCA NÃO PROMOVE AUTOMÁTICAMENTE O JUIZ, NEM INTERROMPE O EXERCÍCIO DE SUAS FUNÇÕES".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2026-10-26T03:54:32.744Z</dcterms:created>
  <dcterms:modified xsi:type="dcterms:W3CDTF">2026-10-26T03:54:32.744Z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