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2.394</w:t>
      </w:r>
    </w:p>
    <w:p/>
    <w:p>
      <w:r>
        <w:t xml:space="preserve">APREENSÃO DE AUTOMÓVEL POR SIMPLES SUSPEITA DE FURTO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veículo alienado fiduciariamente, em cujo contrato de financiamento figura o ora apelado (impetrante) como alienante (devedor) e proprietário fiduciário (credor) a Caixa Econômica Federal, Agência de Palmitos, conforme se vê do Certificado de Registro do veículo; não havendo dúvida a respeito. - Por força do art. 66, da Lei nº 4.728, de 14 de julho de 1965, com a redação que lhe deu o art. 1º, do Decreto-lei nº 911, de 01-10-1969: &lt;&lt;A alienação fiduciária em garantia transfere ao credor o domínio e a posse indireta da coisa móvel alienada, independentemente da tradição efetiva do bem, tornando-se o alienante ou devedor em possuidor direto e depositário com todas as responsabilidades e encargos que lhe incumbem de acordo com a lei civil e penal&gt;&gt;. - Portanto, no caso, o impetrante tem apenas a posse e uso do veículo apreendido, porque gravado com cláusula de alienação fiduciária; pois, pela alienação fiduciária, o devedor (alienante) não adquire a propriedade plena e definitiva da coisa, tão-somente a propriedade restrita e relodúvel; não cumpridas as condições do contrato de financiamento pelo devedor, torna o bem, automaticamente, à propriedade do credor &lt;&lt;como se jamais houvesse saído de seu patrimônio...&gt;&gt; desnecessária &lt;&lt;a intervenção do Juiz&gt;&gt;, tal como observa ORLANDO GOMES. "in" &lt;&lt;Alienação Fiduciária em Garantia&gt;&gt;, pág. 81, 2ª edição. - Ante isso, diante desse quadro, salvo prova em contrário, através dos meios regulares em direito permitidos, o veículo em causa há que permanecer em poder do impetrante, não se podendo tirá-lo a "manu militari"; por se tratar de terceiro de b oa fé, face o que ficou dito e exposto, mesmo porque o bem apreendido pela autoridade coatora é objeto de alienação fiduciária em garantia e de que o possuidor não poderá dispor enquanto não cumprir a obrigação contraída por força do contrato de financiamento; a não ser por força de decisão judicial ou de composição amigável entre as partes que disputam a propriedade do veículo, mediante assentimento da Caixa Econômica Federal, Agência de Palmitos; para tanto, agora a intervenção da autoridade coatora é arbitrária e, por certo, fere direito líquido e certo do impetrante, por ser ilegal, pelo que consta dos autos. - A seguradora somente através dos meios regulares em direito permitidos, terá condições de, se for o caso, fazer valer o direito de que se julga titular em função do instituto da sub-rogação, ,por ter liquidado o seguro do veículo desaparecido e que seria o mesmo apreendido em poder do apelado (impetrante); e não pela via policial como pretende, face a situação jurídica do bem; mesmo porque a seguradora teria direito de ação contra a pessoa que lhe teria causado dano, a fim de reembolsar-se da importância indenizada. - Esta Câmara não é a primeira vez que aprecia e julga casos desta espécie e natureza; ainda recentemente através da apelação cível em mandado de segurança nº 2.394, de Palmitos, em v. acórdão da lavra do Des. HÉLIO MOSIMANN, decidiu caso assemelhado, cuja ementa tem a seguinte redação: &lt;&lt;Mandado de segurança. - Apreensão de veículo determinada pela autoridade policial. - Simples suspeita de furto, sem qualquer apuração dos fatos. - Ilegalidade do ato praticado. - Segurança concedida&gt;&gt; (JC, vols. 46, págs. 63 e 47, pág. 61). - Por tais razões de decidir, entendeu a Câmara, por votação uniforme, após os debates e votação, conhecer do recurso e negar-lhe provimento. Ac. de 29-04-1986 Jurisprudência Catarinense, nº 54 - Pág. 80.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autoridades policiais têm a seu dispor os meios necessários às conclusões de origem ilícita de bens, sendo-lhes defeso a precipitação e a quebra das formalidades legais, como ocorre na busca e apreensão de veículo, por simples suspeita de furto.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2026-07-28T01:19:36.156Z</dcterms:created>
  <dcterms:modified xsi:type="dcterms:W3CDTF">2026-07-28T01:19:36.156Z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