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4</w:t>
      </w:r>
    </w:p>
    <w:p>
      <w:r>
        <w:rPr>
          <w:b/>
          <w:bCs/>
        </w:rPr>
        <w:t xml:space="preserve">Relator: </w:t>
      </w:r>
      <w:r>
        <w:t xml:space="preserve">LUIZ GALLOTTI</w:t>
      </w:r>
    </w:p>
    <w:p/>
    <w:p>
      <w:r>
        <w:t xml:space="preserve">DEFESA DE DIREITO PRÓPRIO DO IMPETRANTE NÃO APENAS POTENCIAL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excelso Pretório, desde as primeiras decisões proferidas em mandado de segurança, vem afirmando que o writ destina-se exclusivamente à defesa de direitos subjetivos. Já o MS nº 4, de 18-10-34, Rel. Min. EDUARDO ESPÍNOLA deixaria assente a excelsa Corte que "se o objetivo do impetrante, ameaçado ou violado por ato do Poder Executivo, mas a nulidade do ato que beneficiou outro e cujo direito se pretende não seja reconhecido, não impetrando, porém, essa nulidade, em assegurar ao requerente o direito ao cargo, o caso não é de mandado de segurança "(Arch. Judiciário 40/501). Posteriormente, no MS nº 1.000, de 28-9-49, o Supremo Tribunal Federal considerou cabível o mandado de segurança tão-somente para a defesa de um direito subjetivo (JARDEL NORONHA e ODALÉIA MARTINS, Referências da Súmula do Supremo Tribunal Federal, 1969, vol 6, págs. 80/92). - Tal entendimento foi reiterado no MS nº 5.347, Rel. Min. LUIZ GALLOTTI, RTJ 6/400, no MS nº 8.595, Relator Min. VILLAS BOAS. RTJ 21/47, no RMS nº 17.076, Rel. Min. VICTOR NUNES LEAL, RTJ 44/572 e RE nº 72.035, Rel. Min LUIZ GALLOTTI RTJ 59/599. Recentemente nos MS nº 20.291, Rel. Min. OSCAR CORRÊA, RTJ 105/48, MS nº 20.359. Rel. Min. DJACI FALCÃO, RTJ 107/45, MS nº 20.420. Rel. Min. DJACI FALCÃO, RTJ 110/1.026 e no MS nº 20.332. Rel. Min. DJACI FALCÃO RTJ 111/84, reafirmou-se a ordenação esposada, ficando assente, no último precedente, que "o mandado de se gurança destina-se a proteger direito subjetivo próprio do impetrante, não mero interesse" (RTJ 111/193). Idêntica posição consta de voto proferido pelo Ministro FRANCISCO REZEK no RE 103.299 - RJ (julgamento ainda incluso), DJ 1-8-1985) e do MS nº 20.533, Rel. Min. DJACI FALCÃO (DJ ... 22-11-1985). - No caso dos autos, o próprio impetrante afirma que ocupava o segundo lugar na lista de antigüidade da 2ª entrância da carreira do Ministério Público, e que a não observância do "critério de promoção ou antigüidade, quanto a Comarca de Tijucas, importa em ameaça a um direito potencial, amparável pelas vias do WRIT, que pode-se transformar em violação direta, caso a primeira colocada em antigüidade na entrância, não pretenda exercer o seu direito". - Resultem suas próprias assertivas a ausência de ameaça a direito subjetivo próprio. E, evidentemente, para que se legitime a impetração preventiva, não se faz mister apenas o justo receio e a ameaça concreta da autoridade, mas, sobretudo, que eles se refiram, de forma direta e imediata, a direito próprio do impetrante (Cfr. CELSO AGRÍCOLA BARBI, ob. cit; Págs. 103/107). - Ora, se o impetrante não esta colocado em primeiro lugar na lista de antigüidade como reconhece não poderia sofrer qualquer lesão no seu eventual direito de remoção (Lei nº 1.533/51, art. 1º). E os precedentes do Supremo Tribunal Federal, na espécie, são numerosos e elucidativos como já assinalado... Ac. de 08-08-1986 Revista Trimestral de Jurisprudência, Vol. 120 (Maio/87) - Pág. 816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é medida judicial que só pode ser utilizada para defesa de direito próprio e direito do impetrante e não para defender direito potencial, e que apenas poderia eventualmente surgir se afastado aquele a quem o ato apontado como ilegal iria atingir. Ademais, de qualquer sorte, não tendo sequer demonstrado o impetrante que a vaga a verificar-se seria preenchida por antigüidade, não poderia ter-se como sequer ameaçado o direito eventual que alega possuir.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2026-07-28T06:46:47.350Z</dcterms:created>
  <dcterms:modified xsi:type="dcterms:W3CDTF">2026-07-28T06:46:47.350Z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