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48.567</w:t>
      </w:r>
    </w:p>
    <w:p/>
    <w:p>
      <w:r>
        <w:t xml:space="preserve">SE A CONCESSÃO DA SEGURANÇA PRODUZ EFEITOS EM RELAÇÃO A PERÍODOS PRETÉRITOS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Concessão do mandado de segurança não produz efeitos patrimoniais, em relação a período pretérito, os quais devem ser reclamados administrativamente ou pela via judicial própria. Referência: - Const. Fed., artigo 141, § 24; - Lei do Mand. Segurança, artigos 7º, II e 15 RE 48.567, de 15.05.62; AG 26.672, de 12.03.63; RMS 6.747, de 27.05.63 (D. de Just. de 25.07.63, p. 373). Aprovada em Sessão de 13-12-1963 - pág. 124 EMENTÁRIO FORENSE. Fevereiro, 1965. Ano XVII. Nº 195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2026-07-27T23:36:33.411Z</dcterms:created>
  <dcterms:modified xsi:type="dcterms:W3CDTF">2026-07-27T23:36:33.411Z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