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RE 48.567</w:t>
      </w:r>
    </w:p>
    <w:p/>
    <w:p>
      <w:r>
        <w:t xml:space="preserve">SE A CONCESSÃO DA SEGURANÇA PRODUZ EFEITOS EM RELAÇÃO A PERÍODOS PRETÉRITOS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Concessão do mandado de segurança não produz efeitos patrimoniais, em relação a período pretérito, os quais devem ser reclamados administrativamente ou pela via judicial própria. Referência: - Const. Fed., artigo 141, § 24; - Lei do Mand. Segurança, artigos 7º, II e 15 RE 48.567, de 15.05.62; AG 26.672, de 12.03.63; RMS 6.747, de 27.05.63 (D. de Just. de 25.07.63, p. 373). Aprovada em Sessão de 13-12-1963 - pág. 124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2026-10-26T04:34:39.911Z</dcterms:created>
  <dcterms:modified xsi:type="dcterms:W3CDTF">2026-10-26T04:34:39.911Z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