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MÁRIO VELLOSO</w:t>
      </w:r>
    </w:p>
    <w:p/>
    <w:p>
      <w:r>
        <w:t xml:space="preserve">. de 10-05-1994
Jurisprudência Catarinense — 3º e 4º Trim. de 1993 - Nº 73 - Pág. 57
EMFOR 564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a recorrente em sua irresignação, pois o que importa, para o ajuizamento desse tipo de demanda constitucional, é tão somente haver prova pré-constituida dos fatos arquidos como ilegais, tal como decidiu o extinto Tribunal Federal de Recursos, conforme atesta a seguinte ementa do AMS - 10.487, Rel. Min. CARLOS MÁRIO VELLOSO: "EMENTA: Mandado de Segurança. Lançamento Fiscal. Cabimento. I - Não é correta a afirmativa no sentido de que não cabe mandado de segurança para anular lançamento fiscal. O que importa verificar é se os fatos são incontroversos. Se não há necessidade de se fazer prova no contraditório comum, é possível o ajuizamento do mandado de segurança. II - Recurso Provido" (DJ de 1-10-87). Ac. de 23-10-1991 DJ de 21-11-1991 Arquivo do EMFOR - STJ/620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1.533/51 não contém qualquer restrição quanto ao cabimento da ação mandamental em matéria tributária. Para o ajuizamento do writ, na hipótese, basta haver prova pré-constituída dos fatos arquidos como ilegais.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2026-07-28T02:29:30.964Z</dcterms:created>
  <dcterms:modified xsi:type="dcterms:W3CDTF">2026-07-28T02:29:30.964Z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