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MS 119.422</w:t>
      </w:r>
    </w:p>
    <w:p>
      <w:r>
        <w:rPr>
          <w:b/>
          <w:bCs/>
        </w:rPr>
        <w:t xml:space="preserve">Relator: </w:t>
      </w:r>
      <w:r>
        <w:t xml:space="preserve">CARLOS MÁRIO VELLOSO</w:t>
      </w:r>
    </w:p>
    <w:p/>
    <w:p>
      <w:r>
        <w:t xml:space="preserve">CONCEITUAÇÃO — DIREITO PÚBLICO SUBJETIVO DO IMPETRANTE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ensina GALENO DE LACERDA, "a" liminar na segurança se reveste de caráter imperativo para o juiz" (Comentários ao Código de Processo Civil - vol. VIII, tomo I, Forense - 1984 - 2ª Edição, pág. 186). - E também, como assevera com precisão HELY LOPES MEIRELLES. "A liminar não é uma liberalidade da Justiça; é medida acauteladora do direito do impetrante, que não pode ser negada quando ocorremos seus pressupostos" (Mandado de Segurança, Ação Popular, Ação Civil Pública, Mandado de Injunção, Habeas Data - RT - 1989 - 13ª edição - pág. 51). - Não é por outra razão que o extinto Tribunal Federal de Recurso chegou à conclusão de que, presentes os pressuposto do art. 7º inciso II, da Lei nº 1.533/51, "surge para a parte o direito subjetivo à liminar (MS nº 119.422 - SP - Rel. Min. CARLOS MÁRIO VELLOSO e MS nº 150.721 - SP - Rel. Min. CARLOS MÁRIO VELLOSO in DJU de 26-6-89 - pág. 11.104); Também o Superior Tribunal de Justiça, no julgamento do Agravo Regimental no Mandado de Segurança nº 371 - DF, tendo como Relator o Min. CARLOS MÁRIO VELLOSO, já reconheceu que "quando ocorrentes ambos os pressupostos da medida liminar, inscritos no art. 7º, II da Lei nº 1.533, de 1951 ... tem o impetrante direito subjetivo àquela medida" (1ª Seção in DJU de 28-5-90, pág. 4.717). Ac. de 19-06-1991 Revista do Superior Tribunal de Justiça - Nov. 1991 - Nº 27 - Pág. 145.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Satisfeitos os pressupostos essenciais, a parte tem direito subjetivo à concessão da liminar pleiteada.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2026-10-26T05:58:39.982Z</dcterms:created>
  <dcterms:modified xsi:type="dcterms:W3CDTF">2026-10-26T05:58:39.982Z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