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RECURSO ADMINISTRATIVO</w:t>
      </w:r>
    </w:p>
    <w:p/>
    <w:p>
      <w:r>
        <w:rPr>
          <w:b/>
          <w:bCs/>
        </w:rPr>
        <w:t xml:space="preserve">Recurso: </w:t>
      </w:r>
      <w:r>
        <w:t xml:space="preserve">MS 11.106</w:t>
      </w:r>
    </w:p>
    <w:p/>
    <w:p>
      <w:r>
        <w:t xml:space="preserve">DENEGAÇÃO DO MANDADO NA SENTENÇA OU NO JULGAMENTO DO RECURSO — PERDA DE EFEITO DA LIMINAR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Denegado o mandado de segurança pela sentença, ou no julgamento do agravo, dela interposto, fica sem efeito a liminar concedida, retroagindo os efeitos da decisão contrária. Referência: Lei do Mand. Seg., artigos 7º, II e 12 RMS 11.106, de 06.11.63 (D.J. de 05.03.64, p. 16); RMS 11.115, de 06.11.63; RMS 11.412, de 10.06.63. DJ 124, de 8 de julho de 1964 - Adendo nº 2 - pág. 2.237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2026-10-26T03:41:39.653Z</dcterms:created>
  <dcterms:modified xsi:type="dcterms:W3CDTF">2026-10-26T03:41:39.653Z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