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MS 21.300</w:t>
      </w:r>
    </w:p>
    <w:p/>
    <w:p>
      <w:r>
        <w:t xml:space="preserve">AUSÊNCIA OU INTEMPESTIVIDADE POR PARTE DA AUTORIDADE COATORA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suma, mesmo que se considerar terem sido prestadas a destempo, pela autoridade apontada como coatora, as informações requisitadas pelo Juízo, isso não acarreta eficácia negativa alguma para o deslinde do mandamus, uma vez compete ao impetrante fazer a prova documental do seu afirmado direito líquido e certo, o que deverá ocorrer com a propositura da demanda. Bem por isso, prestadas ou não as informações, ou não prestadas no prazo legal, trata-se de circunstância que não afeta o ônus que o impetrante tem para provar a fundamento do WRIT. - Isso, ademais, tem sido consagrado pela Jurisprudência, inclusive do Supremo Tribunal Federal, o que se exemplifica com o RMS nº 21.300 - DF, de que foi relator o Min. MOREIRA ALVES (J. em 17.3.92, in RTJ 142-782/790), que apresenta a seguinte ementa: "Em se tratando de mandado de segurança, não há sequer que pretender-se a ocorrência de confissão ficta por falta de contestação, dada a intempestividade das informações. Com efeito, em mandado de segurança quem tem de fazer prova da liquidez e certeza do direito, mediante prova documental pré-constituída, é o impetrante, o que afasta, conseqüentemente, a aplicação da confissão ficta por não contestação se aquela prova. Cujo ônus é do impetrante, não for feita". Ac. de 08-10-1996 Arquivo do EMFOR - TJ/2651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mandado de segurança, a ausência ou a intempestividade das informações por parte da autoridade coatora não acarreta a eficácia da revelia, porquanto compete ao impetrante fazer prova documental do seu afirmado direito líquido e certo.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2026-07-27T23:35:06.757Z</dcterms:created>
  <dcterms:modified xsi:type="dcterms:W3CDTF">2026-07-27T23:35:06.757Z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