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97.282</w:t>
      </w:r>
    </w:p>
    <w:p>
      <w:r>
        <w:rPr>
          <w:b/>
          <w:bCs/>
        </w:rPr>
        <w:t xml:space="preserve">Julgado em: </w:t>
      </w:r>
      <w:r>
        <w:t xml:space="preserve">24/04/1986</w:t>
      </w:r>
    </w:p>
    <w:p/>
    <w:p>
      <w:r>
        <w:t xml:space="preserve">SUA LEGITIMIDADE PARA RECORRER DE SENTENÇA CONCESSIVA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do v. acórdão recorrido no sentido de que «embora a Fazenda Pública tenha interesse no recebimento do tributo cobrado pelos seus funcionários, não é esta parte legítima para interpor o recursos de apelação, e sim, os respectivos fiscais», discrepa totalmente da melhor doutrina e da jurisprudência. - CELSO AGRÍCOLA BARBI respaldado no pensamento de SEABRA FAGUNDES, CASTRO NUNES e TEMÍSTOCLES CAVALCANTE explicita quem é parte passiva no mandado de segurança: «Parte passiva no mandado de segurança é a pessoa jurídica de direito público a cujos quadros pertence a autoridade apontada como coatora. - Como já vimos anteriormente, o ato do funcionário é ato da entidade pública a que se subordina. - Seus efeitos se operam em relação à pessoa jurídica de direito público. - E, por lei, só esta tem «capacidade de ser parte» no nosso direito processual civil. - A circunstância de a lei, em vez de falar na citação daquela pessoa, haver se referido a «pedido de informações a autoridade coatora» significa apenas mudança de técnica, em favor da brevidade do processo: o coator é citado em juízo como «representante» daquela pessoa, como notou SEABRA FAGUNDES, e como parte» - De igual modo, é o entendimento desta Corte tomado no RE nº 97.282, relatado pelo eminente Ministro SOARES MUÑOZ em aresto assim ementado: «Mandado de Segurança. - Legitimidade para recorrer. - O coator é notificado para prestar informações. - Não tem ele legitimidade para recorrer da decisão deferitória do "mandamus". - A legitimação cabe ao representante da pessoa jurídica interessada.» (RTJ 105/404). -É incontroverso que cabe à pessoa jurídica de direito público, cujo ato é atacado e não ao fu ncionário (coator) , que presta apenas as informações, a legitimidade para recorrer. - Acrescente-se, ainda, que vencida a Fazenda Pública na primeira instância a sentença está sujeita ao duplo grau de jurisdição nos termos do art. 475, II, do CPC, e a não reapreciação desta pelo Tribunal, implica necessariamente na falta de prestação jurisdicional. - Em face do exposto, conheço do recurso e lhe dou provimento para que, afastada a preliminar de ilegitimidade de parte, o Tribunal, "a quo" aprecie o recurso "ex officio" e a apelação voluntária, como de direito. Julgado em 25-04-1986 Revista Trimestral de Jurisprudência. Vol. 118 - Pág. 377 EMFOR 465 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Legítima é a pessoa jurídica de direito público para recorrer de sentença concessiva de segurança e não os seus funcionários encarregados de receber o tributo.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2026-10-26T04:56:22.603Z</dcterms:created>
  <dcterms:modified xsi:type="dcterms:W3CDTF">2026-10-26T04:56:22.603Z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