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52.588</w:t>
      </w:r>
    </w:p>
    <w:p/>
    <w:p>
      <w:r>
        <w:t xml:space="preserve">EXISTÊNCIA DESTE COM EFEITO SUSPENSIVO — CABIMENTO DA IMPETRAÇÃO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recurso administrativo com efeito suspensivo não impede o uso do mandado de segurança contra omissão da autoridade. Referência: C F, art. 141, § 24; Lei nº 1.533, de 31.12.51, art. 5º, I RE 52.588, de 09.07.63 (D.J. de 29.08.63, p. 793); RE 55.622, de 04.08.64. MS 10.871, de 21.11.62. RMS 9.359, de 09.05.62. DJ, nº 124, de 8 de julho de 1964 - Adendo nº 2 - pág. 2.239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2026-10-26T02:30:28.147Z</dcterms:created>
  <dcterms:modified xsi:type="dcterms:W3CDTF">2026-10-26T02:30:28.147Z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