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RE 52.588</w:t>
      </w:r>
    </w:p>
    <w:p/>
    <w:p>
      <w:r>
        <w:t xml:space="preserve">EXISTÊNCIA DESTE COM EFEITO SUSPENSIVO — CABIMENTO DA IMPETRAÇÃO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existência de recurso administrativo com efeito suspensivo não impede o uso do mandado de segurança contra omissão da autoridade. Referência: C F, art. 141, § 24; Lei nº 1.533, de 31.12.51, art. 5º, I RE 52.588, de 09.07.63 (D.J. de 29.08.63, p. 793); RE 55.622, de 04.08.64. MS 10.871, de 21.11.62. RMS 9.359, de 09.05.62. DJ, nº 124, de 8 de julho de 1964 - Adendo nº 2 - pág. 2.239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2026-07-28T01:42:14.829Z</dcterms:created>
  <dcterms:modified xsi:type="dcterms:W3CDTF">2026-07-28T01:42:14.829Z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